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BEE" w:rsidRDefault="00150BEE" w:rsidP="00253CF8">
      <w:pPr>
        <w:spacing w:after="0" w:line="240" w:lineRule="auto"/>
        <w:outlineLvl w:val="2"/>
        <w:rPr>
          <w:rFonts w:ascii="Arial" w:eastAsia="Times New Roman" w:hAnsi="Arial" w:cs="Arial"/>
          <w:b/>
          <w:color w:val="333333"/>
          <w:sz w:val="36"/>
          <w:szCs w:val="36"/>
          <w:u w:val="single"/>
          <w:lang w:eastAsia="es-ES"/>
        </w:rPr>
      </w:pPr>
      <w:r>
        <w:rPr>
          <w:rFonts w:ascii="Arial" w:eastAsia="Times New Roman" w:hAnsi="Arial" w:cs="Arial"/>
          <w:b/>
          <w:color w:val="333333"/>
          <w:sz w:val="36"/>
          <w:szCs w:val="36"/>
          <w:u w:val="single"/>
          <w:lang w:eastAsia="es-ES"/>
        </w:rPr>
        <w:t>UJP-</w:t>
      </w:r>
      <w:proofErr w:type="spellStart"/>
      <w:r>
        <w:rPr>
          <w:rFonts w:ascii="Arial" w:eastAsia="Times New Roman" w:hAnsi="Arial" w:cs="Arial"/>
          <w:b/>
          <w:color w:val="333333"/>
          <w:sz w:val="36"/>
          <w:szCs w:val="36"/>
          <w:u w:val="single"/>
          <w:lang w:eastAsia="es-ES"/>
        </w:rPr>
        <w:t>UGT_Catalunya</w:t>
      </w:r>
      <w:proofErr w:type="spellEnd"/>
      <w:r>
        <w:rPr>
          <w:rFonts w:ascii="Arial" w:eastAsia="Times New Roman" w:hAnsi="Arial" w:cs="Arial"/>
          <w:b/>
          <w:color w:val="333333"/>
          <w:sz w:val="36"/>
          <w:szCs w:val="36"/>
          <w:u w:val="single"/>
          <w:lang w:eastAsia="es-ES"/>
        </w:rPr>
        <w:t>, Informa</w:t>
      </w:r>
    </w:p>
    <w:p w:rsidR="00253CF8" w:rsidRPr="00253CF8" w:rsidRDefault="00253CF8" w:rsidP="00253CF8">
      <w:pPr>
        <w:spacing w:after="0" w:line="240" w:lineRule="auto"/>
        <w:outlineLvl w:val="2"/>
        <w:rPr>
          <w:rFonts w:ascii="Arial" w:eastAsia="Times New Roman" w:hAnsi="Arial" w:cs="Arial"/>
          <w:b/>
          <w:bCs/>
          <w:color w:val="333333"/>
          <w:u w:val="single"/>
          <w:lang w:eastAsia="es-ES"/>
        </w:rPr>
      </w:pPr>
      <w:r w:rsidRPr="00253CF8">
        <w:rPr>
          <w:rFonts w:ascii="Arial" w:eastAsia="Times New Roman" w:hAnsi="Arial" w:cs="Arial"/>
          <w:b/>
          <w:color w:val="333333"/>
          <w:sz w:val="36"/>
          <w:szCs w:val="36"/>
          <w:u w:val="single"/>
          <w:lang w:eastAsia="es-ES"/>
        </w:rPr>
        <w:t>Como</w:t>
      </w:r>
      <w:r>
        <w:rPr>
          <w:rFonts w:ascii="Arial" w:eastAsia="Times New Roman" w:hAnsi="Arial" w:cs="Arial"/>
          <w:b/>
          <w:color w:val="333333"/>
          <w:sz w:val="36"/>
          <w:szCs w:val="36"/>
          <w:u w:val="single"/>
          <w:lang w:eastAsia="es-ES"/>
        </w:rPr>
        <w:t xml:space="preserve"> </w:t>
      </w:r>
      <w:r w:rsidRPr="00253CF8">
        <w:rPr>
          <w:rFonts w:ascii="Arial" w:eastAsia="Times New Roman" w:hAnsi="Arial" w:cs="Arial"/>
          <w:b/>
          <w:color w:val="333333"/>
          <w:sz w:val="36"/>
          <w:szCs w:val="36"/>
          <w:u w:val="single"/>
          <w:lang w:eastAsia="es-ES"/>
        </w:rPr>
        <w:t>se</w:t>
      </w:r>
      <w:r>
        <w:rPr>
          <w:rFonts w:ascii="Arial" w:eastAsia="Times New Roman" w:hAnsi="Arial" w:cs="Arial"/>
          <w:b/>
          <w:color w:val="333333"/>
          <w:sz w:val="36"/>
          <w:szCs w:val="36"/>
          <w:u w:val="single"/>
          <w:lang w:eastAsia="es-ES"/>
        </w:rPr>
        <w:t xml:space="preserve"> </w:t>
      </w:r>
      <w:r w:rsidRPr="00253CF8">
        <w:rPr>
          <w:rFonts w:ascii="Arial" w:eastAsia="Times New Roman" w:hAnsi="Arial" w:cs="Arial"/>
          <w:b/>
          <w:color w:val="333333"/>
          <w:sz w:val="36"/>
          <w:szCs w:val="36"/>
          <w:u w:val="single"/>
          <w:lang w:eastAsia="es-ES"/>
        </w:rPr>
        <w:t>calcula</w:t>
      </w:r>
      <w:r>
        <w:rPr>
          <w:rFonts w:ascii="Arial" w:eastAsia="Times New Roman" w:hAnsi="Arial" w:cs="Arial"/>
          <w:b/>
          <w:color w:val="333333"/>
          <w:sz w:val="36"/>
          <w:szCs w:val="36"/>
          <w:u w:val="single"/>
          <w:lang w:eastAsia="es-ES"/>
        </w:rPr>
        <w:t xml:space="preserve"> </w:t>
      </w:r>
      <w:r w:rsidRPr="00253CF8">
        <w:rPr>
          <w:rFonts w:ascii="Arial" w:eastAsia="Times New Roman" w:hAnsi="Arial" w:cs="Arial"/>
          <w:b/>
          <w:color w:val="333333"/>
          <w:sz w:val="36"/>
          <w:szCs w:val="36"/>
          <w:u w:val="single"/>
          <w:lang w:eastAsia="es-ES"/>
        </w:rPr>
        <w:t>la</w:t>
      </w:r>
      <w:r>
        <w:rPr>
          <w:rFonts w:ascii="Arial" w:eastAsia="Times New Roman" w:hAnsi="Arial" w:cs="Arial"/>
          <w:b/>
          <w:color w:val="333333"/>
          <w:sz w:val="36"/>
          <w:szCs w:val="36"/>
          <w:u w:val="single"/>
          <w:lang w:eastAsia="es-ES"/>
        </w:rPr>
        <w:t xml:space="preserve"> </w:t>
      </w:r>
      <w:proofErr w:type="spellStart"/>
      <w:r w:rsidRPr="00253CF8">
        <w:rPr>
          <w:rFonts w:ascii="Arial" w:eastAsia="Times New Roman" w:hAnsi="Arial" w:cs="Arial"/>
          <w:b/>
          <w:color w:val="333333"/>
          <w:sz w:val="36"/>
          <w:szCs w:val="36"/>
          <w:u w:val="single"/>
          <w:lang w:eastAsia="es-ES"/>
        </w:rPr>
        <w:t>pension</w:t>
      </w:r>
      <w:proofErr w:type="spellEnd"/>
      <w:r w:rsidRPr="00253CF8">
        <w:rPr>
          <w:rFonts w:ascii="Arial" w:eastAsia="Times New Roman" w:hAnsi="Arial" w:cs="Arial"/>
          <w:b/>
          <w:color w:val="333333"/>
          <w:sz w:val="36"/>
          <w:szCs w:val="36"/>
          <w:u w:val="single"/>
          <w:lang w:eastAsia="es-ES"/>
        </w:rPr>
        <w:t xml:space="preserve"> de invalidez  </w:t>
      </w:r>
    </w:p>
    <w:p w:rsidR="00253CF8" w:rsidRPr="00253CF8" w:rsidRDefault="00253CF8" w:rsidP="00253CF8">
      <w:pPr>
        <w:spacing w:before="100" w:beforeAutospacing="1" w:after="100" w:afterAutospacing="1" w:line="240" w:lineRule="auto"/>
        <w:jc w:val="both"/>
        <w:rPr>
          <w:rFonts w:ascii="Arial" w:eastAsia="Times New Roman" w:hAnsi="Arial" w:cs="Arial"/>
          <w:color w:val="333333"/>
          <w:sz w:val="18"/>
          <w:szCs w:val="18"/>
          <w:lang w:eastAsia="es-ES"/>
        </w:rPr>
      </w:pPr>
      <w:r w:rsidRPr="00253CF8">
        <w:rPr>
          <w:rFonts w:ascii="Arial" w:eastAsia="Times New Roman" w:hAnsi="Arial" w:cs="Arial"/>
          <w:color w:val="333333"/>
          <w:sz w:val="18"/>
          <w:szCs w:val="18"/>
          <w:lang w:eastAsia="es-ES"/>
        </w:rPr>
        <w:t>La prestación económica por incapacidad permanente total (IPT) consiste en una pensión vitalicia mensual, que puede ser sustituida excepcionalmente por una indemnización a tanto alzado, cuando el beneficiario sea menor de 60 años.</w:t>
      </w:r>
    </w:p>
    <w:p w:rsidR="00253CF8" w:rsidRPr="00253CF8" w:rsidRDefault="00A23525" w:rsidP="00253CF8">
      <w:pPr>
        <w:numPr>
          <w:ilvl w:val="0"/>
          <w:numId w:val="3"/>
        </w:numPr>
        <w:spacing w:before="100" w:beforeAutospacing="1" w:after="100" w:afterAutospacing="1" w:line="240" w:lineRule="auto"/>
        <w:ind w:left="120"/>
        <w:rPr>
          <w:rFonts w:ascii="Arial" w:eastAsia="Times New Roman" w:hAnsi="Arial" w:cs="Arial"/>
          <w:color w:val="333333"/>
          <w:sz w:val="18"/>
          <w:szCs w:val="18"/>
          <w:lang w:eastAsia="es-ES"/>
        </w:rPr>
      </w:pPr>
      <w:hyperlink r:id="rId5" w:anchor="42804" w:history="1">
        <w:r w:rsidR="00253CF8" w:rsidRPr="00253CF8">
          <w:rPr>
            <w:rFonts w:ascii="Arial" w:eastAsia="Times New Roman" w:hAnsi="Arial" w:cs="Arial"/>
            <w:color w:val="646F93"/>
            <w:sz w:val="18"/>
            <w:u w:val="single"/>
            <w:lang w:eastAsia="es-ES"/>
          </w:rPr>
          <w:t>Cuantía de la pensión</w:t>
        </w:r>
      </w:hyperlink>
    </w:p>
    <w:p w:rsidR="00253CF8" w:rsidRPr="00253CF8" w:rsidRDefault="00A23525" w:rsidP="00253CF8">
      <w:pPr>
        <w:numPr>
          <w:ilvl w:val="0"/>
          <w:numId w:val="3"/>
        </w:numPr>
        <w:spacing w:before="100" w:beforeAutospacing="1" w:after="100" w:afterAutospacing="1" w:line="240" w:lineRule="auto"/>
        <w:ind w:left="120"/>
        <w:rPr>
          <w:rFonts w:ascii="Arial" w:eastAsia="Times New Roman" w:hAnsi="Arial" w:cs="Arial"/>
          <w:color w:val="333333"/>
          <w:sz w:val="18"/>
          <w:szCs w:val="18"/>
          <w:lang w:eastAsia="es-ES"/>
        </w:rPr>
      </w:pPr>
      <w:hyperlink r:id="rId6" w:anchor="28710" w:history="1">
        <w:r w:rsidR="00253CF8" w:rsidRPr="00253CF8">
          <w:rPr>
            <w:rFonts w:ascii="Arial" w:eastAsia="Times New Roman" w:hAnsi="Arial" w:cs="Arial"/>
            <w:color w:val="646F93"/>
            <w:sz w:val="18"/>
            <w:u w:val="single"/>
            <w:lang w:eastAsia="es-ES"/>
          </w:rPr>
          <w:t>Porcentaje</w:t>
        </w:r>
      </w:hyperlink>
    </w:p>
    <w:p w:rsidR="00253CF8" w:rsidRPr="00253CF8" w:rsidRDefault="00A23525" w:rsidP="00253CF8">
      <w:pPr>
        <w:numPr>
          <w:ilvl w:val="0"/>
          <w:numId w:val="3"/>
        </w:numPr>
        <w:spacing w:before="100" w:beforeAutospacing="1" w:after="100" w:afterAutospacing="1" w:line="240" w:lineRule="auto"/>
        <w:ind w:left="120"/>
        <w:rPr>
          <w:rFonts w:ascii="Arial" w:eastAsia="Times New Roman" w:hAnsi="Arial" w:cs="Arial"/>
          <w:color w:val="333333"/>
          <w:sz w:val="18"/>
          <w:szCs w:val="18"/>
          <w:lang w:eastAsia="es-ES"/>
        </w:rPr>
      </w:pPr>
      <w:hyperlink r:id="rId7" w:anchor="42791" w:history="1">
        <w:r w:rsidR="00253CF8" w:rsidRPr="00253CF8">
          <w:rPr>
            <w:rFonts w:ascii="Arial" w:eastAsia="Times New Roman" w:hAnsi="Arial" w:cs="Arial"/>
            <w:color w:val="646F93"/>
            <w:sz w:val="18"/>
            <w:u w:val="single"/>
            <w:lang w:eastAsia="es-ES"/>
          </w:rPr>
          <w:t>Base reguladora</w:t>
        </w:r>
      </w:hyperlink>
    </w:p>
    <w:p w:rsidR="00253CF8" w:rsidRPr="00253CF8" w:rsidRDefault="00A23525" w:rsidP="00253CF8">
      <w:pPr>
        <w:numPr>
          <w:ilvl w:val="0"/>
          <w:numId w:val="3"/>
        </w:numPr>
        <w:spacing w:before="100" w:beforeAutospacing="1" w:after="100" w:afterAutospacing="1" w:line="240" w:lineRule="auto"/>
        <w:ind w:left="120"/>
        <w:rPr>
          <w:rFonts w:ascii="Arial" w:eastAsia="Times New Roman" w:hAnsi="Arial" w:cs="Arial"/>
          <w:color w:val="333333"/>
          <w:sz w:val="18"/>
          <w:szCs w:val="18"/>
          <w:lang w:eastAsia="es-ES"/>
        </w:rPr>
      </w:pPr>
      <w:hyperlink r:id="rId8" w:anchor="40829" w:history="1">
        <w:r w:rsidR="00253CF8" w:rsidRPr="00253CF8">
          <w:rPr>
            <w:rFonts w:ascii="Arial" w:eastAsia="Times New Roman" w:hAnsi="Arial" w:cs="Arial"/>
            <w:color w:val="646F93"/>
            <w:sz w:val="18"/>
            <w:u w:val="single"/>
            <w:lang w:eastAsia="es-ES"/>
          </w:rPr>
          <w:t>Indemnización a tanto alzado</w:t>
        </w:r>
      </w:hyperlink>
    </w:p>
    <w:p w:rsidR="00253CF8" w:rsidRPr="00253CF8" w:rsidRDefault="00A23525" w:rsidP="00253CF8">
      <w:pPr>
        <w:numPr>
          <w:ilvl w:val="0"/>
          <w:numId w:val="3"/>
        </w:numPr>
        <w:spacing w:before="100" w:beforeAutospacing="1" w:after="100" w:afterAutospacing="1" w:line="240" w:lineRule="auto"/>
        <w:ind w:left="120"/>
        <w:rPr>
          <w:rFonts w:ascii="Arial" w:eastAsia="Times New Roman" w:hAnsi="Arial" w:cs="Arial"/>
          <w:color w:val="333333"/>
          <w:sz w:val="18"/>
          <w:szCs w:val="18"/>
          <w:lang w:eastAsia="es-ES"/>
        </w:rPr>
      </w:pPr>
      <w:hyperlink r:id="rId9" w:anchor="28727" w:history="1">
        <w:r w:rsidR="00253CF8" w:rsidRPr="00253CF8">
          <w:rPr>
            <w:rFonts w:ascii="Arial" w:eastAsia="Times New Roman" w:hAnsi="Arial" w:cs="Arial"/>
            <w:color w:val="646F93"/>
            <w:sz w:val="18"/>
            <w:u w:val="single"/>
            <w:lang w:eastAsia="es-ES"/>
          </w:rPr>
          <w:t>Abono</w:t>
        </w:r>
      </w:hyperlink>
    </w:p>
    <w:p w:rsidR="00253CF8" w:rsidRPr="00253CF8" w:rsidRDefault="00253CF8" w:rsidP="00253CF8">
      <w:pPr>
        <w:shd w:val="clear" w:color="auto" w:fill="EEEEEE"/>
        <w:spacing w:after="120" w:line="240" w:lineRule="auto"/>
        <w:textAlignment w:val="center"/>
        <w:outlineLvl w:val="2"/>
        <w:rPr>
          <w:rFonts w:ascii="Arial" w:eastAsia="Times New Roman" w:hAnsi="Arial" w:cs="Arial"/>
          <w:b/>
          <w:bCs/>
          <w:color w:val="000000"/>
          <w:sz w:val="23"/>
          <w:szCs w:val="23"/>
          <w:lang w:eastAsia="es-ES"/>
        </w:rPr>
      </w:pPr>
      <w:bookmarkStart w:id="0" w:name="42804"/>
      <w:bookmarkEnd w:id="0"/>
      <w:r>
        <w:rPr>
          <w:rFonts w:ascii="Arial" w:eastAsia="Times New Roman" w:hAnsi="Arial" w:cs="Arial"/>
          <w:b/>
          <w:bCs/>
          <w:noProof/>
          <w:color w:val="000000"/>
          <w:sz w:val="23"/>
          <w:szCs w:val="23"/>
          <w:lang w:eastAsia="es-ES"/>
        </w:rPr>
        <w:drawing>
          <wp:inline distT="0" distB="0" distL="0" distR="0">
            <wp:extent cx="123825" cy="95250"/>
            <wp:effectExtent l="0" t="0" r="0" b="0"/>
            <wp:docPr id="3" name="Imagen 3" descr="http://www.seg-social.es/prdi00/groups/public/documents/sistema/separador_miga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eg-social.es/prdi00/groups/public/documents/sistema/separador_migas.gif"/>
                    <pic:cNvPicPr>
                      <a:picLocks noChangeAspect="1" noChangeArrowheads="1"/>
                    </pic:cNvPicPr>
                  </pic:nvPicPr>
                  <pic:blipFill>
                    <a:blip r:embed="rId10" cstate="print"/>
                    <a:srcRect/>
                    <a:stretch>
                      <a:fillRect/>
                    </a:stretch>
                  </pic:blipFill>
                  <pic:spPr bwMode="auto">
                    <a:xfrm>
                      <a:off x="0" y="0"/>
                      <a:ext cx="123825" cy="95250"/>
                    </a:xfrm>
                    <a:prstGeom prst="rect">
                      <a:avLst/>
                    </a:prstGeom>
                    <a:noFill/>
                    <a:ln w="9525">
                      <a:noFill/>
                      <a:miter lim="800000"/>
                      <a:headEnd/>
                      <a:tailEnd/>
                    </a:ln>
                  </pic:spPr>
                </pic:pic>
              </a:graphicData>
            </a:graphic>
          </wp:inline>
        </w:drawing>
      </w:r>
      <w:r w:rsidRPr="00253CF8">
        <w:rPr>
          <w:rFonts w:ascii="Arial" w:eastAsia="Times New Roman" w:hAnsi="Arial" w:cs="Arial"/>
          <w:b/>
          <w:bCs/>
          <w:color w:val="000000"/>
          <w:sz w:val="23"/>
          <w:lang w:eastAsia="es-ES"/>
        </w:rPr>
        <w:t> </w:t>
      </w:r>
      <w:bookmarkStart w:id="1" w:name="Cuantía_de_la_pensión"/>
      <w:r w:rsidRPr="00253CF8">
        <w:rPr>
          <w:rFonts w:ascii="Arial" w:eastAsia="Times New Roman" w:hAnsi="Arial" w:cs="Arial"/>
          <w:b/>
          <w:bCs/>
          <w:color w:val="333333"/>
          <w:sz w:val="23"/>
          <w:szCs w:val="23"/>
          <w:lang w:eastAsia="es-ES"/>
        </w:rPr>
        <w:t>Cuantía de la pensión</w:t>
      </w:r>
      <w:bookmarkEnd w:id="1"/>
    </w:p>
    <w:p w:rsidR="00253CF8" w:rsidRPr="00253CF8" w:rsidRDefault="00253CF8" w:rsidP="00253CF8">
      <w:pPr>
        <w:spacing w:before="100" w:beforeAutospacing="1" w:after="100" w:afterAutospacing="1" w:line="240" w:lineRule="auto"/>
        <w:rPr>
          <w:rFonts w:ascii="Arial" w:eastAsia="Times New Roman" w:hAnsi="Arial" w:cs="Arial"/>
          <w:color w:val="333333"/>
          <w:sz w:val="18"/>
          <w:szCs w:val="18"/>
          <w:lang w:eastAsia="es-ES"/>
        </w:rPr>
      </w:pPr>
      <w:r w:rsidRPr="00253CF8">
        <w:rPr>
          <w:rFonts w:ascii="Arial" w:eastAsia="Times New Roman" w:hAnsi="Arial" w:cs="Arial"/>
          <w:color w:val="333333"/>
          <w:sz w:val="18"/>
          <w:szCs w:val="18"/>
          <w:lang w:eastAsia="es-ES"/>
        </w:rPr>
        <w:t>La cuantía de la pensión de IPT se obtiene de aplicar un porcentaje a la base reguladora (BR) que corresponda, según la causa que origine la incapacidad.</w:t>
      </w:r>
    </w:p>
    <w:p w:rsidR="00253CF8" w:rsidRPr="00253CF8" w:rsidRDefault="00253CF8" w:rsidP="00253CF8">
      <w:pPr>
        <w:spacing w:before="100" w:beforeAutospacing="1" w:after="100" w:afterAutospacing="1" w:line="240" w:lineRule="auto"/>
        <w:rPr>
          <w:rFonts w:ascii="Arial" w:eastAsia="Times New Roman" w:hAnsi="Arial" w:cs="Arial"/>
          <w:color w:val="333333"/>
          <w:sz w:val="18"/>
          <w:szCs w:val="18"/>
          <w:lang w:eastAsia="es-ES"/>
        </w:rPr>
      </w:pPr>
      <w:r w:rsidRPr="00253CF8">
        <w:rPr>
          <w:rFonts w:ascii="Arial" w:eastAsia="Times New Roman" w:hAnsi="Arial" w:cs="Arial"/>
          <w:color w:val="333333"/>
          <w:sz w:val="18"/>
          <w:szCs w:val="18"/>
          <w:lang w:eastAsia="es-ES"/>
        </w:rPr>
        <w:t>Si deriva de enfermedad común, la cuantía de la pensión  no podrá resultar inferior al 55% de la base mínima de cotización para mayores de 18 años, en términos anuales, vigente en cada momento.</w:t>
      </w:r>
    </w:p>
    <w:p w:rsidR="00253CF8" w:rsidRPr="00253CF8" w:rsidRDefault="00253CF8" w:rsidP="00253CF8">
      <w:pPr>
        <w:shd w:val="clear" w:color="auto" w:fill="EEEEEE"/>
        <w:spacing w:after="120" w:line="240" w:lineRule="auto"/>
        <w:textAlignment w:val="center"/>
        <w:outlineLvl w:val="2"/>
        <w:rPr>
          <w:rFonts w:ascii="Arial" w:eastAsia="Times New Roman" w:hAnsi="Arial" w:cs="Arial"/>
          <w:b/>
          <w:bCs/>
          <w:color w:val="000000"/>
          <w:sz w:val="23"/>
          <w:szCs w:val="23"/>
          <w:lang w:eastAsia="es-ES"/>
        </w:rPr>
      </w:pPr>
      <w:bookmarkStart w:id="2" w:name="28710"/>
      <w:bookmarkEnd w:id="2"/>
      <w:r>
        <w:rPr>
          <w:rFonts w:ascii="Arial" w:eastAsia="Times New Roman" w:hAnsi="Arial" w:cs="Arial"/>
          <w:b/>
          <w:bCs/>
          <w:noProof/>
          <w:color w:val="000000"/>
          <w:sz w:val="23"/>
          <w:szCs w:val="23"/>
          <w:lang w:eastAsia="es-ES"/>
        </w:rPr>
        <w:drawing>
          <wp:inline distT="0" distB="0" distL="0" distR="0">
            <wp:extent cx="123825" cy="95250"/>
            <wp:effectExtent l="0" t="0" r="0" b="0"/>
            <wp:docPr id="6" name="Imagen 6" descr="http://www.seg-social.es/prdi00/groups/public/documents/sistema/separador_miga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seg-social.es/prdi00/groups/public/documents/sistema/separador_migas.gif"/>
                    <pic:cNvPicPr>
                      <a:picLocks noChangeAspect="1" noChangeArrowheads="1"/>
                    </pic:cNvPicPr>
                  </pic:nvPicPr>
                  <pic:blipFill>
                    <a:blip r:embed="rId10" cstate="print"/>
                    <a:srcRect/>
                    <a:stretch>
                      <a:fillRect/>
                    </a:stretch>
                  </pic:blipFill>
                  <pic:spPr bwMode="auto">
                    <a:xfrm>
                      <a:off x="0" y="0"/>
                      <a:ext cx="123825" cy="95250"/>
                    </a:xfrm>
                    <a:prstGeom prst="rect">
                      <a:avLst/>
                    </a:prstGeom>
                    <a:noFill/>
                    <a:ln w="9525">
                      <a:noFill/>
                      <a:miter lim="800000"/>
                      <a:headEnd/>
                      <a:tailEnd/>
                    </a:ln>
                  </pic:spPr>
                </pic:pic>
              </a:graphicData>
            </a:graphic>
          </wp:inline>
        </w:drawing>
      </w:r>
      <w:r w:rsidRPr="00253CF8">
        <w:rPr>
          <w:rFonts w:ascii="Arial" w:eastAsia="Times New Roman" w:hAnsi="Arial" w:cs="Arial"/>
          <w:b/>
          <w:bCs/>
          <w:color w:val="000000"/>
          <w:sz w:val="23"/>
          <w:lang w:eastAsia="es-ES"/>
        </w:rPr>
        <w:t> </w:t>
      </w:r>
      <w:bookmarkStart w:id="3" w:name="Porcentaje"/>
      <w:r w:rsidRPr="00253CF8">
        <w:rPr>
          <w:rFonts w:ascii="Arial" w:eastAsia="Times New Roman" w:hAnsi="Arial" w:cs="Arial"/>
          <w:b/>
          <w:bCs/>
          <w:color w:val="333333"/>
          <w:sz w:val="23"/>
          <w:szCs w:val="23"/>
          <w:lang w:eastAsia="es-ES"/>
        </w:rPr>
        <w:t>Porcentaje</w:t>
      </w:r>
      <w:bookmarkEnd w:id="3"/>
    </w:p>
    <w:p w:rsidR="00253CF8" w:rsidRPr="00253CF8" w:rsidRDefault="00253CF8" w:rsidP="00253CF8">
      <w:pPr>
        <w:numPr>
          <w:ilvl w:val="0"/>
          <w:numId w:val="4"/>
        </w:numPr>
        <w:spacing w:before="120" w:after="100" w:afterAutospacing="1" w:line="240" w:lineRule="auto"/>
        <w:ind w:left="144"/>
        <w:jc w:val="both"/>
        <w:rPr>
          <w:rFonts w:ascii="Arial" w:eastAsia="Times New Roman" w:hAnsi="Arial" w:cs="Arial"/>
          <w:color w:val="333333"/>
          <w:sz w:val="18"/>
          <w:szCs w:val="18"/>
          <w:lang w:eastAsia="es-ES"/>
        </w:rPr>
      </w:pPr>
      <w:r w:rsidRPr="00253CF8">
        <w:rPr>
          <w:rFonts w:ascii="Arial" w:eastAsia="Times New Roman" w:hAnsi="Arial" w:cs="Arial"/>
          <w:i/>
          <w:iCs/>
          <w:color w:val="333333"/>
          <w:sz w:val="18"/>
          <w:lang w:eastAsia="es-ES"/>
        </w:rPr>
        <w:t>Norma general:</w:t>
      </w:r>
      <w:r w:rsidRPr="00253CF8">
        <w:rPr>
          <w:rFonts w:ascii="Arial" w:eastAsia="Times New Roman" w:hAnsi="Arial" w:cs="Arial"/>
          <w:i/>
          <w:iCs/>
          <w:color w:val="333333"/>
          <w:sz w:val="18"/>
          <w:szCs w:val="18"/>
          <w:lang w:eastAsia="es-ES"/>
        </w:rPr>
        <w:br/>
      </w:r>
      <w:r w:rsidRPr="00253CF8">
        <w:rPr>
          <w:rFonts w:ascii="Arial" w:eastAsia="Times New Roman" w:hAnsi="Arial" w:cs="Arial"/>
          <w:i/>
          <w:iCs/>
          <w:color w:val="333333"/>
          <w:sz w:val="18"/>
          <w:szCs w:val="18"/>
          <w:lang w:eastAsia="es-ES"/>
        </w:rPr>
        <w:br/>
      </w:r>
      <w:r w:rsidRPr="00253CF8">
        <w:rPr>
          <w:rFonts w:ascii="Arial" w:eastAsia="Times New Roman" w:hAnsi="Arial" w:cs="Arial"/>
          <w:color w:val="333333"/>
          <w:sz w:val="18"/>
          <w:szCs w:val="18"/>
          <w:lang w:eastAsia="es-ES"/>
        </w:rPr>
        <w:t>55% de la BR. Dicho porcentaje puede incrementarse en un 20% más para los mayores de 55 años cuando, por su falta de preparación general o especializada y circunstancias sociales y laborales del lugar de residencia, se presuma la dificultad de obtener empleo en actividad distinta de la habitual.</w:t>
      </w:r>
    </w:p>
    <w:p w:rsidR="00253CF8" w:rsidRPr="00253CF8" w:rsidRDefault="00253CF8" w:rsidP="00253CF8">
      <w:pPr>
        <w:numPr>
          <w:ilvl w:val="0"/>
          <w:numId w:val="4"/>
        </w:numPr>
        <w:spacing w:before="120" w:after="100" w:afterAutospacing="1" w:line="240" w:lineRule="auto"/>
        <w:ind w:left="144"/>
        <w:jc w:val="both"/>
        <w:rPr>
          <w:rFonts w:ascii="Arial" w:eastAsia="Times New Roman" w:hAnsi="Arial" w:cs="Arial"/>
          <w:color w:val="333333"/>
          <w:sz w:val="18"/>
          <w:szCs w:val="18"/>
          <w:lang w:eastAsia="es-ES"/>
        </w:rPr>
      </w:pPr>
      <w:r w:rsidRPr="00253CF8">
        <w:rPr>
          <w:rFonts w:ascii="Arial" w:eastAsia="Times New Roman" w:hAnsi="Arial" w:cs="Arial"/>
          <w:i/>
          <w:iCs/>
          <w:color w:val="333333"/>
          <w:sz w:val="18"/>
          <w:lang w:eastAsia="es-ES"/>
        </w:rPr>
        <w:t>En los casos en que el trabajador, alcanzada la edad ordinaria de jubilación o más años, acceda a la pensión de IPT derivada de contingencias comunes, por no reunir los requisitos para acceder a la pensión de jubilación: </w:t>
      </w:r>
      <w:r w:rsidRPr="00253CF8">
        <w:rPr>
          <w:rFonts w:ascii="Arial" w:eastAsia="Times New Roman" w:hAnsi="Arial" w:cs="Arial"/>
          <w:i/>
          <w:iCs/>
          <w:color w:val="333333"/>
          <w:sz w:val="18"/>
          <w:szCs w:val="18"/>
          <w:lang w:eastAsia="es-ES"/>
        </w:rPr>
        <w:br/>
      </w:r>
      <w:r w:rsidRPr="00253CF8">
        <w:rPr>
          <w:rFonts w:ascii="Arial" w:eastAsia="Times New Roman" w:hAnsi="Arial" w:cs="Arial"/>
          <w:i/>
          <w:iCs/>
          <w:color w:val="333333"/>
          <w:sz w:val="18"/>
          <w:szCs w:val="18"/>
          <w:lang w:eastAsia="es-ES"/>
        </w:rPr>
        <w:br/>
      </w:r>
      <w:r w:rsidRPr="00253CF8">
        <w:rPr>
          <w:rFonts w:ascii="Arial" w:eastAsia="Times New Roman" w:hAnsi="Arial" w:cs="Arial"/>
          <w:color w:val="333333"/>
          <w:sz w:val="18"/>
          <w:szCs w:val="18"/>
          <w:lang w:eastAsia="es-ES"/>
        </w:rPr>
        <w:t>El porcentaje aplicable será el que corresponda al período mínimo de cotización que esté establecido, en cada momento, para el acceso a la pensión de jubilación. Actualmente, dicho porcentaje es del 50%, que se aplicará a la BR correspondiente.</w:t>
      </w:r>
    </w:p>
    <w:p w:rsidR="00253CF8" w:rsidRPr="00253CF8" w:rsidRDefault="00253CF8" w:rsidP="00253CF8">
      <w:pPr>
        <w:numPr>
          <w:ilvl w:val="0"/>
          <w:numId w:val="5"/>
        </w:numPr>
        <w:spacing w:before="120" w:after="100" w:afterAutospacing="1" w:line="240" w:lineRule="auto"/>
        <w:ind w:left="144"/>
        <w:jc w:val="both"/>
        <w:rPr>
          <w:rFonts w:ascii="Arial" w:eastAsia="Times New Roman" w:hAnsi="Arial" w:cs="Arial"/>
          <w:color w:val="333333"/>
          <w:sz w:val="18"/>
          <w:szCs w:val="18"/>
          <w:lang w:eastAsia="es-ES"/>
        </w:rPr>
      </w:pPr>
      <w:r w:rsidRPr="00253CF8">
        <w:rPr>
          <w:rFonts w:ascii="Arial" w:eastAsia="Times New Roman" w:hAnsi="Arial" w:cs="Arial"/>
          <w:i/>
          <w:iCs/>
          <w:color w:val="333333"/>
          <w:sz w:val="18"/>
          <w:lang w:eastAsia="es-ES"/>
        </w:rPr>
        <w:t>En los casos de accidente de trabajo o enfermedad profesional, la prestación se aumentará, según la gravedad de la falta, de un 30% a un 50% </w:t>
      </w:r>
      <w:r w:rsidRPr="00253CF8">
        <w:rPr>
          <w:rFonts w:ascii="Arial" w:eastAsia="Times New Roman" w:hAnsi="Arial" w:cs="Arial"/>
          <w:color w:val="333333"/>
          <w:sz w:val="18"/>
          <w:szCs w:val="18"/>
          <w:lang w:eastAsia="es-ES"/>
        </w:rPr>
        <w:t>cuando la lesión se produzca por máquinas, artefactos o en instalaciones, centros o lugares de trabajo que carezcan de los dispositivos de precaución reglamentarios, los tengan inutilizados o en malas condiciones, o cuando no se hayan observado las medidas de seguridad e higiene en el trabajo, o las elementales de salubridad o las de adecuación personal a cada trabajo, habida cuenta de sus características y de la edad, sexo y demás condiciones del trabajador. Dicho recargo recae directamente sobre el empresario infractor.</w:t>
      </w:r>
      <w:r w:rsidRPr="00253CF8">
        <w:rPr>
          <w:rFonts w:ascii="Arial" w:eastAsia="Times New Roman" w:hAnsi="Arial" w:cs="Arial"/>
          <w:color w:val="333333"/>
          <w:sz w:val="18"/>
          <w:lang w:eastAsia="es-ES"/>
        </w:rPr>
        <w:t> </w:t>
      </w:r>
      <w:r w:rsidRPr="00253CF8">
        <w:rPr>
          <w:rFonts w:ascii="Arial" w:eastAsia="Times New Roman" w:hAnsi="Arial" w:cs="Arial"/>
          <w:color w:val="333333"/>
          <w:sz w:val="18"/>
          <w:szCs w:val="18"/>
          <w:lang w:eastAsia="es-ES"/>
        </w:rPr>
        <w:br/>
      </w:r>
      <w:r w:rsidRPr="00253CF8">
        <w:rPr>
          <w:rFonts w:ascii="Arial" w:eastAsia="Times New Roman" w:hAnsi="Arial" w:cs="Arial"/>
          <w:color w:val="333333"/>
          <w:sz w:val="18"/>
          <w:szCs w:val="18"/>
          <w:lang w:eastAsia="es-ES"/>
        </w:rPr>
        <w:br/>
        <w:t>No será de aplicación a los empleados de hogar el recargo de las prestaciones económicas en caso de</w:t>
      </w:r>
      <w:r w:rsidRPr="00253CF8">
        <w:rPr>
          <w:rFonts w:ascii="Arial" w:eastAsia="Times New Roman" w:hAnsi="Arial" w:cs="Arial"/>
          <w:color w:val="333333"/>
          <w:sz w:val="18"/>
          <w:lang w:eastAsia="es-ES"/>
        </w:rPr>
        <w:t> AT </w:t>
      </w:r>
      <w:r w:rsidRPr="00253CF8">
        <w:rPr>
          <w:rFonts w:ascii="Arial" w:eastAsia="Times New Roman" w:hAnsi="Arial" w:cs="Arial"/>
          <w:color w:val="333333"/>
          <w:sz w:val="18"/>
          <w:szCs w:val="18"/>
          <w:lang w:eastAsia="es-ES"/>
        </w:rPr>
        <w:t>y </w:t>
      </w:r>
      <w:r w:rsidRPr="00253CF8">
        <w:rPr>
          <w:rFonts w:ascii="Arial" w:eastAsia="Times New Roman" w:hAnsi="Arial" w:cs="Arial"/>
          <w:color w:val="333333"/>
          <w:sz w:val="18"/>
          <w:lang w:eastAsia="es-ES"/>
        </w:rPr>
        <w:t>EP</w:t>
      </w:r>
      <w:r w:rsidRPr="00253CF8">
        <w:rPr>
          <w:rFonts w:ascii="Arial" w:eastAsia="Times New Roman" w:hAnsi="Arial" w:cs="Arial"/>
          <w:color w:val="333333"/>
          <w:sz w:val="18"/>
          <w:szCs w:val="18"/>
          <w:lang w:eastAsia="es-ES"/>
        </w:rPr>
        <w:t> por falta de medidas de prevención de riesgos laborales. </w:t>
      </w:r>
    </w:p>
    <w:p w:rsidR="00253CF8" w:rsidRPr="00253CF8" w:rsidRDefault="00253CF8" w:rsidP="00253CF8">
      <w:pPr>
        <w:shd w:val="clear" w:color="auto" w:fill="EEEEEE"/>
        <w:spacing w:after="120" w:line="240" w:lineRule="auto"/>
        <w:textAlignment w:val="center"/>
        <w:outlineLvl w:val="2"/>
        <w:rPr>
          <w:rFonts w:ascii="Arial" w:eastAsia="Times New Roman" w:hAnsi="Arial" w:cs="Arial"/>
          <w:b/>
          <w:bCs/>
          <w:color w:val="000000"/>
          <w:sz w:val="23"/>
          <w:szCs w:val="23"/>
          <w:lang w:eastAsia="es-ES"/>
        </w:rPr>
      </w:pPr>
      <w:bookmarkStart w:id="4" w:name="42791"/>
      <w:bookmarkEnd w:id="4"/>
      <w:r>
        <w:rPr>
          <w:rFonts w:ascii="Arial" w:eastAsia="Times New Roman" w:hAnsi="Arial" w:cs="Arial"/>
          <w:b/>
          <w:bCs/>
          <w:noProof/>
          <w:color w:val="000000"/>
          <w:sz w:val="23"/>
          <w:szCs w:val="23"/>
          <w:lang w:eastAsia="es-ES"/>
        </w:rPr>
        <w:drawing>
          <wp:inline distT="0" distB="0" distL="0" distR="0">
            <wp:extent cx="123825" cy="95250"/>
            <wp:effectExtent l="0" t="0" r="0" b="0"/>
            <wp:docPr id="9" name="Imagen 9" descr="http://www.seg-social.es/prdi00/groups/public/documents/sistema/separador_miga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seg-social.es/prdi00/groups/public/documents/sistema/separador_migas.gif"/>
                    <pic:cNvPicPr>
                      <a:picLocks noChangeAspect="1" noChangeArrowheads="1"/>
                    </pic:cNvPicPr>
                  </pic:nvPicPr>
                  <pic:blipFill>
                    <a:blip r:embed="rId10" cstate="print"/>
                    <a:srcRect/>
                    <a:stretch>
                      <a:fillRect/>
                    </a:stretch>
                  </pic:blipFill>
                  <pic:spPr bwMode="auto">
                    <a:xfrm>
                      <a:off x="0" y="0"/>
                      <a:ext cx="123825" cy="95250"/>
                    </a:xfrm>
                    <a:prstGeom prst="rect">
                      <a:avLst/>
                    </a:prstGeom>
                    <a:noFill/>
                    <a:ln w="9525">
                      <a:noFill/>
                      <a:miter lim="800000"/>
                      <a:headEnd/>
                      <a:tailEnd/>
                    </a:ln>
                  </pic:spPr>
                </pic:pic>
              </a:graphicData>
            </a:graphic>
          </wp:inline>
        </w:drawing>
      </w:r>
      <w:r w:rsidRPr="00253CF8">
        <w:rPr>
          <w:rFonts w:ascii="Arial" w:eastAsia="Times New Roman" w:hAnsi="Arial" w:cs="Arial"/>
          <w:b/>
          <w:bCs/>
          <w:color w:val="000000"/>
          <w:sz w:val="23"/>
          <w:lang w:eastAsia="es-ES"/>
        </w:rPr>
        <w:t> </w:t>
      </w:r>
      <w:bookmarkStart w:id="5" w:name="Base_reguladora"/>
      <w:r w:rsidRPr="00253CF8">
        <w:rPr>
          <w:rFonts w:ascii="Arial" w:eastAsia="Times New Roman" w:hAnsi="Arial" w:cs="Arial"/>
          <w:b/>
          <w:bCs/>
          <w:color w:val="333333"/>
          <w:sz w:val="23"/>
          <w:szCs w:val="23"/>
          <w:lang w:eastAsia="es-ES"/>
        </w:rPr>
        <w:t>Base reguladora</w:t>
      </w:r>
      <w:bookmarkEnd w:id="5"/>
    </w:p>
    <w:p w:rsidR="00253CF8" w:rsidRPr="00253CF8" w:rsidRDefault="00253CF8" w:rsidP="00253CF8">
      <w:pPr>
        <w:spacing w:before="100" w:beforeAutospacing="1" w:after="100" w:afterAutospacing="1" w:line="240" w:lineRule="auto"/>
        <w:jc w:val="both"/>
        <w:rPr>
          <w:rFonts w:ascii="Arial" w:eastAsia="Times New Roman" w:hAnsi="Arial" w:cs="Arial"/>
          <w:color w:val="333333"/>
          <w:sz w:val="18"/>
          <w:szCs w:val="18"/>
          <w:lang w:eastAsia="es-ES"/>
        </w:rPr>
      </w:pPr>
      <w:r w:rsidRPr="00253CF8">
        <w:rPr>
          <w:rFonts w:ascii="Arial" w:eastAsia="Times New Roman" w:hAnsi="Arial" w:cs="Arial"/>
          <w:color w:val="333333"/>
          <w:sz w:val="18"/>
          <w:szCs w:val="18"/>
          <w:lang w:eastAsia="es-ES"/>
        </w:rPr>
        <w:t>El cálculo de la base reguladora (BR) será diferente según la causa que origine la incapacidad permanente:</w:t>
      </w:r>
      <w:r w:rsidRPr="00253CF8">
        <w:rPr>
          <w:rFonts w:ascii="Arial" w:eastAsia="Times New Roman" w:hAnsi="Arial" w:cs="Arial"/>
          <w:color w:val="333333"/>
          <w:sz w:val="18"/>
          <w:szCs w:val="18"/>
          <w:lang w:eastAsia="es-ES"/>
        </w:rPr>
        <w:br/>
      </w:r>
      <w:r w:rsidRPr="00253CF8">
        <w:rPr>
          <w:rFonts w:ascii="Arial" w:eastAsia="Times New Roman" w:hAnsi="Arial" w:cs="Arial"/>
          <w:b/>
          <w:bCs/>
          <w:color w:val="333333"/>
          <w:sz w:val="18"/>
          <w:szCs w:val="18"/>
          <w:lang w:eastAsia="es-ES"/>
        </w:rPr>
        <w:br/>
      </w:r>
      <w:r w:rsidRPr="00253CF8">
        <w:rPr>
          <w:rFonts w:ascii="Arial" w:eastAsia="Times New Roman" w:hAnsi="Arial" w:cs="Arial"/>
          <w:b/>
          <w:bCs/>
          <w:color w:val="333333"/>
          <w:sz w:val="18"/>
          <w:lang w:eastAsia="es-ES"/>
        </w:rPr>
        <w:t>Si la incapacidad deriva de enfermedad común:</w:t>
      </w:r>
    </w:p>
    <w:p w:rsidR="00253CF8" w:rsidRPr="00253CF8" w:rsidRDefault="00253CF8" w:rsidP="00253CF8">
      <w:pPr>
        <w:numPr>
          <w:ilvl w:val="0"/>
          <w:numId w:val="6"/>
        </w:numPr>
        <w:spacing w:before="120" w:after="100" w:afterAutospacing="1" w:line="240" w:lineRule="auto"/>
        <w:ind w:left="120"/>
        <w:jc w:val="both"/>
        <w:rPr>
          <w:rFonts w:ascii="Arial" w:eastAsia="Times New Roman" w:hAnsi="Arial" w:cs="Arial"/>
          <w:color w:val="333333"/>
          <w:sz w:val="18"/>
          <w:szCs w:val="18"/>
          <w:lang w:eastAsia="es-ES"/>
        </w:rPr>
      </w:pPr>
      <w:r w:rsidRPr="00253CF8">
        <w:rPr>
          <w:rFonts w:ascii="Arial" w:eastAsia="Times New Roman" w:hAnsi="Arial" w:cs="Arial"/>
          <w:i/>
          <w:iCs/>
          <w:color w:val="333333"/>
          <w:sz w:val="18"/>
          <w:lang w:eastAsia="es-ES"/>
        </w:rPr>
        <w:t>Trabajador mayor de 52 años y menor de 65 en la fecha del hecho causante:</w:t>
      </w:r>
    </w:p>
    <w:p w:rsidR="00253CF8" w:rsidRPr="00253CF8" w:rsidRDefault="00253CF8" w:rsidP="00253CF8">
      <w:pPr>
        <w:numPr>
          <w:ilvl w:val="1"/>
          <w:numId w:val="6"/>
        </w:numPr>
        <w:spacing w:before="120" w:after="100" w:afterAutospacing="1" w:line="240" w:lineRule="auto"/>
        <w:ind w:left="1020"/>
        <w:jc w:val="both"/>
        <w:rPr>
          <w:rFonts w:ascii="Arial" w:eastAsia="Times New Roman" w:hAnsi="Arial" w:cs="Arial"/>
          <w:color w:val="333333"/>
          <w:sz w:val="18"/>
          <w:szCs w:val="18"/>
          <w:lang w:eastAsia="es-ES"/>
        </w:rPr>
      </w:pPr>
      <w:r w:rsidRPr="00253CF8">
        <w:rPr>
          <w:rFonts w:ascii="Arial" w:eastAsia="Times New Roman" w:hAnsi="Arial" w:cs="Arial"/>
          <w:i/>
          <w:iCs/>
          <w:color w:val="333333"/>
          <w:sz w:val="18"/>
          <w:lang w:eastAsia="es-ES"/>
        </w:rPr>
        <w:t>Se hallará el cociente que resulte de dividir por 112 las bases de cotización del interesado durante los 96 meses inmediatamente anteriores al mes previo al del hecho causante. El cómputo de dichas bases se realizará conforme a las siguientes reglas:</w:t>
      </w:r>
    </w:p>
    <w:p w:rsidR="00253CF8" w:rsidRPr="00253CF8" w:rsidRDefault="00253CF8" w:rsidP="00253CF8">
      <w:pPr>
        <w:numPr>
          <w:ilvl w:val="2"/>
          <w:numId w:val="6"/>
        </w:numPr>
        <w:spacing w:before="120" w:after="100" w:afterAutospacing="1" w:line="240" w:lineRule="auto"/>
        <w:ind w:left="1440"/>
        <w:jc w:val="both"/>
        <w:rPr>
          <w:rFonts w:ascii="Arial" w:eastAsia="Times New Roman" w:hAnsi="Arial" w:cs="Arial"/>
          <w:color w:val="333333"/>
          <w:sz w:val="18"/>
          <w:szCs w:val="18"/>
          <w:lang w:eastAsia="es-ES"/>
        </w:rPr>
      </w:pPr>
      <w:r w:rsidRPr="00253CF8">
        <w:rPr>
          <w:rFonts w:ascii="Arial" w:eastAsia="Times New Roman" w:hAnsi="Arial" w:cs="Arial"/>
          <w:color w:val="333333"/>
          <w:sz w:val="18"/>
          <w:szCs w:val="18"/>
          <w:lang w:eastAsia="es-ES"/>
        </w:rPr>
        <w:lastRenderedPageBreak/>
        <w:t>Las bases de los 24 meses anteriores al mes previo al del hecho causante se computan en su valor nominal.</w:t>
      </w:r>
    </w:p>
    <w:p w:rsidR="00253CF8" w:rsidRPr="00253CF8" w:rsidRDefault="00253CF8" w:rsidP="00253CF8">
      <w:pPr>
        <w:numPr>
          <w:ilvl w:val="2"/>
          <w:numId w:val="6"/>
        </w:numPr>
        <w:spacing w:before="120" w:after="100" w:afterAutospacing="1" w:line="240" w:lineRule="auto"/>
        <w:ind w:left="1440"/>
        <w:jc w:val="both"/>
        <w:rPr>
          <w:rFonts w:ascii="Arial" w:eastAsia="Times New Roman" w:hAnsi="Arial" w:cs="Arial"/>
          <w:color w:val="333333"/>
          <w:sz w:val="18"/>
          <w:szCs w:val="18"/>
          <w:lang w:eastAsia="es-ES"/>
        </w:rPr>
      </w:pPr>
      <w:r w:rsidRPr="00253CF8">
        <w:rPr>
          <w:rFonts w:ascii="Arial" w:eastAsia="Times New Roman" w:hAnsi="Arial" w:cs="Arial"/>
          <w:color w:val="333333"/>
          <w:sz w:val="18"/>
          <w:szCs w:val="18"/>
          <w:lang w:eastAsia="es-ES"/>
        </w:rPr>
        <w:t>Las restantes bases se actualizarán de acuerdo con la evolución del</w:t>
      </w:r>
      <w:r w:rsidRPr="00253CF8">
        <w:rPr>
          <w:rFonts w:ascii="Arial" w:eastAsia="Times New Roman" w:hAnsi="Arial" w:cs="Arial"/>
          <w:color w:val="333333"/>
          <w:sz w:val="18"/>
          <w:lang w:eastAsia="es-ES"/>
        </w:rPr>
        <w:t> IPC</w:t>
      </w:r>
      <w:r w:rsidRPr="00253CF8">
        <w:rPr>
          <w:rFonts w:ascii="Arial" w:eastAsia="Times New Roman" w:hAnsi="Arial" w:cs="Arial"/>
          <w:color w:val="333333"/>
          <w:sz w:val="18"/>
          <w:szCs w:val="18"/>
          <w:lang w:eastAsia="es-ES"/>
        </w:rPr>
        <w:t>, desde los meses a que aquéllas correspondan hasta el mes inmediato anterior a aquél en que se inicie el período de bases no actualizables a que se refiere el párrafo anterior.</w:t>
      </w:r>
      <w:r w:rsidRPr="00253CF8">
        <w:rPr>
          <w:rFonts w:ascii="Arial" w:eastAsia="Times New Roman" w:hAnsi="Arial" w:cs="Arial"/>
          <w:color w:val="333333"/>
          <w:sz w:val="18"/>
          <w:lang w:eastAsia="es-ES"/>
        </w:rPr>
        <w:t> </w:t>
      </w:r>
    </w:p>
    <w:p w:rsidR="00253CF8" w:rsidRPr="00253CF8" w:rsidRDefault="00253CF8" w:rsidP="00253CF8">
      <w:pPr>
        <w:numPr>
          <w:ilvl w:val="1"/>
          <w:numId w:val="6"/>
        </w:numPr>
        <w:spacing w:before="120" w:after="100" w:afterAutospacing="1" w:line="240" w:lineRule="auto"/>
        <w:ind w:left="1020"/>
        <w:jc w:val="both"/>
        <w:rPr>
          <w:rFonts w:ascii="Arial" w:eastAsia="Times New Roman" w:hAnsi="Arial" w:cs="Arial"/>
          <w:color w:val="333333"/>
          <w:sz w:val="18"/>
          <w:szCs w:val="18"/>
          <w:lang w:eastAsia="es-ES"/>
        </w:rPr>
      </w:pPr>
      <w:r w:rsidRPr="00253CF8">
        <w:rPr>
          <w:rFonts w:ascii="Arial" w:eastAsia="Times New Roman" w:hAnsi="Arial" w:cs="Arial"/>
          <w:i/>
          <w:iCs/>
          <w:color w:val="333333"/>
          <w:sz w:val="18"/>
          <w:lang w:eastAsia="es-ES"/>
        </w:rPr>
        <w:t>Al resultado obtenido, se le aplicará el </w:t>
      </w:r>
      <w:hyperlink r:id="rId11" w:anchor="40827" w:history="1">
        <w:r w:rsidRPr="00253CF8">
          <w:rPr>
            <w:rFonts w:ascii="Arial" w:eastAsia="Times New Roman" w:hAnsi="Arial" w:cs="Arial"/>
            <w:i/>
            <w:iCs/>
            <w:color w:val="646F93"/>
            <w:sz w:val="18"/>
            <w:u w:val="single"/>
            <w:lang w:eastAsia="es-ES"/>
          </w:rPr>
          <w:t>porcentaje</w:t>
        </w:r>
      </w:hyperlink>
      <w:r w:rsidRPr="00253CF8">
        <w:rPr>
          <w:rFonts w:ascii="Arial" w:eastAsia="Times New Roman" w:hAnsi="Arial" w:cs="Arial"/>
          <w:i/>
          <w:iCs/>
          <w:color w:val="333333"/>
          <w:sz w:val="18"/>
          <w:lang w:eastAsia="es-ES"/>
        </w:rPr>
        <w:t> que corresponda en función de los años de cotización</w:t>
      </w:r>
      <w:r w:rsidRPr="00253CF8">
        <w:rPr>
          <w:rFonts w:ascii="Arial" w:eastAsia="Times New Roman" w:hAnsi="Arial" w:cs="Arial"/>
          <w:color w:val="333333"/>
          <w:sz w:val="18"/>
          <w:szCs w:val="18"/>
          <w:lang w:eastAsia="es-ES"/>
        </w:rPr>
        <w:t>, según la escala prevista para las pensiones de jubilación, considerándose a tal efecto como cotizados los años que le falten al trabajador, en la fecha del hecho causante, para cumplir la</w:t>
      </w:r>
      <w:r w:rsidRPr="00253CF8">
        <w:rPr>
          <w:rFonts w:ascii="Arial" w:eastAsia="Times New Roman" w:hAnsi="Arial" w:cs="Arial"/>
          <w:color w:val="333333"/>
          <w:sz w:val="18"/>
          <w:lang w:eastAsia="es-ES"/>
        </w:rPr>
        <w:t> </w:t>
      </w:r>
      <w:hyperlink r:id="rId12" w:history="1">
        <w:r w:rsidRPr="00253CF8">
          <w:rPr>
            <w:rFonts w:ascii="Arial" w:eastAsia="Times New Roman" w:hAnsi="Arial" w:cs="Arial"/>
            <w:color w:val="646F93"/>
            <w:sz w:val="18"/>
            <w:u w:val="single"/>
            <w:lang w:eastAsia="es-ES"/>
          </w:rPr>
          <w:t>edad ordinaria</w:t>
        </w:r>
      </w:hyperlink>
      <w:r w:rsidRPr="00253CF8">
        <w:rPr>
          <w:rFonts w:ascii="Arial" w:eastAsia="Times New Roman" w:hAnsi="Arial" w:cs="Arial"/>
          <w:color w:val="333333"/>
          <w:sz w:val="18"/>
          <w:lang w:eastAsia="es-ES"/>
        </w:rPr>
        <w:t> </w:t>
      </w:r>
      <w:r w:rsidRPr="00253CF8">
        <w:rPr>
          <w:rFonts w:ascii="Arial" w:eastAsia="Times New Roman" w:hAnsi="Arial" w:cs="Arial"/>
          <w:color w:val="333333"/>
          <w:sz w:val="18"/>
          <w:szCs w:val="18"/>
          <w:lang w:eastAsia="es-ES"/>
        </w:rPr>
        <w:t>de jubilación vigente en cada momento. En caso de no alcanzarse 15 años de cotización, el porcentaje aplicable será del 50%.</w:t>
      </w:r>
    </w:p>
    <w:p w:rsidR="00253CF8" w:rsidRPr="00253CF8" w:rsidRDefault="00253CF8" w:rsidP="00253CF8">
      <w:pPr>
        <w:numPr>
          <w:ilvl w:val="1"/>
          <w:numId w:val="6"/>
        </w:numPr>
        <w:spacing w:before="120" w:after="240" w:line="240" w:lineRule="auto"/>
        <w:ind w:left="1020"/>
        <w:jc w:val="both"/>
        <w:rPr>
          <w:rFonts w:ascii="Arial" w:eastAsia="Times New Roman" w:hAnsi="Arial" w:cs="Arial"/>
          <w:color w:val="333333"/>
          <w:sz w:val="18"/>
          <w:szCs w:val="18"/>
          <w:lang w:eastAsia="es-ES"/>
        </w:rPr>
      </w:pPr>
      <w:r w:rsidRPr="00253CF8">
        <w:rPr>
          <w:rFonts w:ascii="Arial" w:eastAsia="Times New Roman" w:hAnsi="Arial" w:cs="Arial"/>
          <w:color w:val="333333"/>
          <w:sz w:val="18"/>
          <w:szCs w:val="18"/>
          <w:lang w:eastAsia="es-ES"/>
        </w:rPr>
        <w:t>El importe resultante de las reglas anteriores constituirá la BR a la que, para obtener la cuantía de la pensión que corresponda, habrá de aplicarse el porcentaje previsto para el grado de incapacidad reconocido.</w:t>
      </w:r>
    </w:p>
    <w:p w:rsidR="00253CF8" w:rsidRPr="00253CF8" w:rsidRDefault="00253CF8" w:rsidP="00253CF8">
      <w:pPr>
        <w:numPr>
          <w:ilvl w:val="0"/>
          <w:numId w:val="6"/>
        </w:numPr>
        <w:spacing w:before="120" w:after="100" w:afterAutospacing="1" w:line="240" w:lineRule="auto"/>
        <w:ind w:left="120"/>
        <w:jc w:val="both"/>
        <w:rPr>
          <w:rFonts w:ascii="Arial" w:eastAsia="Times New Roman" w:hAnsi="Arial" w:cs="Arial"/>
          <w:color w:val="333333"/>
          <w:sz w:val="18"/>
          <w:szCs w:val="18"/>
          <w:lang w:eastAsia="es-ES"/>
        </w:rPr>
      </w:pPr>
      <w:r w:rsidRPr="00253CF8">
        <w:rPr>
          <w:rFonts w:ascii="Arial" w:eastAsia="Times New Roman" w:hAnsi="Arial" w:cs="Arial"/>
          <w:i/>
          <w:iCs/>
          <w:color w:val="333333"/>
          <w:sz w:val="18"/>
          <w:lang w:eastAsia="es-ES"/>
        </w:rPr>
        <w:t>Trabajador menor de 52 años en la fecha del hecho causante (al que se exige un período de cotización inferior a 8 años): </w:t>
      </w:r>
      <w:r w:rsidRPr="00253CF8">
        <w:rPr>
          <w:rFonts w:ascii="Arial" w:eastAsia="Times New Roman" w:hAnsi="Arial" w:cs="Arial"/>
          <w:i/>
          <w:iCs/>
          <w:color w:val="333333"/>
          <w:sz w:val="18"/>
          <w:szCs w:val="18"/>
          <w:lang w:eastAsia="es-ES"/>
        </w:rPr>
        <w:br/>
      </w:r>
      <w:r w:rsidRPr="00253CF8">
        <w:rPr>
          <w:rFonts w:ascii="Arial" w:eastAsia="Times New Roman" w:hAnsi="Arial" w:cs="Arial"/>
          <w:i/>
          <w:iCs/>
          <w:color w:val="333333"/>
          <w:sz w:val="18"/>
          <w:szCs w:val="18"/>
          <w:lang w:eastAsia="es-ES"/>
        </w:rPr>
        <w:br/>
      </w:r>
      <w:r w:rsidRPr="00253CF8">
        <w:rPr>
          <w:rFonts w:ascii="Arial" w:eastAsia="Times New Roman" w:hAnsi="Arial" w:cs="Arial"/>
          <w:color w:val="333333"/>
          <w:sz w:val="18"/>
          <w:szCs w:val="18"/>
          <w:lang w:eastAsia="es-ES"/>
        </w:rPr>
        <w:t>La BR se obtendrá, de forma análoga al supuesto anterior, pero el cociente se hallará dividiendo la suma de las bases mensuales de cotización en número igual al de meses de que conste el período mínimo de cotización exigible, sin tener en cuenta las fracciones de mes, por el número de meses a que dichas bases se refieran, multiplicando este divisor por el coeficiente 1,1666, y excluyendo, en todo caso, de la actualización las bases correspondientes a los 24 meses inmediatamente anteriores al mes previo a aquél en que se produzca el hecho causante.</w:t>
      </w:r>
    </w:p>
    <w:p w:rsidR="00253CF8" w:rsidRPr="00253CF8" w:rsidRDefault="00253CF8" w:rsidP="00253CF8">
      <w:pPr>
        <w:numPr>
          <w:ilvl w:val="0"/>
          <w:numId w:val="6"/>
        </w:numPr>
        <w:spacing w:before="120" w:after="100" w:afterAutospacing="1" w:line="240" w:lineRule="auto"/>
        <w:ind w:left="120"/>
        <w:jc w:val="both"/>
        <w:rPr>
          <w:rFonts w:ascii="Arial" w:eastAsia="Times New Roman" w:hAnsi="Arial" w:cs="Arial"/>
          <w:color w:val="333333"/>
          <w:sz w:val="18"/>
          <w:szCs w:val="18"/>
          <w:lang w:eastAsia="es-ES"/>
        </w:rPr>
      </w:pPr>
      <w:r w:rsidRPr="00253CF8">
        <w:rPr>
          <w:rFonts w:ascii="Arial" w:eastAsia="Times New Roman" w:hAnsi="Arial" w:cs="Arial"/>
          <w:i/>
          <w:iCs/>
          <w:color w:val="333333"/>
          <w:sz w:val="18"/>
          <w:lang w:eastAsia="es-ES"/>
        </w:rPr>
        <w:t>Trabajador con 65 o más años en la fecha del hecho causante, que no reúne los requisitos para la jubilación:</w:t>
      </w:r>
      <w:r w:rsidRPr="00253CF8">
        <w:rPr>
          <w:rFonts w:ascii="Arial" w:eastAsia="Times New Roman" w:hAnsi="Arial" w:cs="Arial"/>
          <w:i/>
          <w:iCs/>
          <w:color w:val="333333"/>
          <w:sz w:val="18"/>
          <w:szCs w:val="18"/>
          <w:lang w:eastAsia="es-ES"/>
        </w:rPr>
        <w:br/>
      </w:r>
      <w:r w:rsidRPr="00253CF8">
        <w:rPr>
          <w:rFonts w:ascii="Arial" w:eastAsia="Times New Roman" w:hAnsi="Arial" w:cs="Arial"/>
          <w:i/>
          <w:iCs/>
          <w:color w:val="333333"/>
          <w:sz w:val="18"/>
          <w:szCs w:val="18"/>
          <w:lang w:eastAsia="es-ES"/>
        </w:rPr>
        <w:br/>
      </w:r>
      <w:r w:rsidRPr="00253CF8">
        <w:rPr>
          <w:rFonts w:ascii="Arial" w:eastAsia="Times New Roman" w:hAnsi="Arial" w:cs="Arial"/>
          <w:color w:val="333333"/>
          <w:sz w:val="18"/>
          <w:szCs w:val="18"/>
          <w:lang w:eastAsia="es-ES"/>
        </w:rPr>
        <w:t>La BR será el cociente que resulte de dividir por 112 las bases de cotización del interesado durante los 96 meses inmediatamente anteriores al mes previo al del hecho causante, conforme a lo establecido en la norma a).</w:t>
      </w:r>
    </w:p>
    <w:p w:rsidR="00253CF8" w:rsidRPr="00253CF8" w:rsidRDefault="00253CF8" w:rsidP="00253CF8">
      <w:pPr>
        <w:numPr>
          <w:ilvl w:val="0"/>
          <w:numId w:val="6"/>
        </w:numPr>
        <w:spacing w:before="120" w:after="100" w:afterAutospacing="1" w:line="240" w:lineRule="auto"/>
        <w:ind w:left="120"/>
        <w:jc w:val="both"/>
        <w:rPr>
          <w:rFonts w:ascii="Arial" w:eastAsia="Times New Roman" w:hAnsi="Arial" w:cs="Arial"/>
          <w:color w:val="333333"/>
          <w:sz w:val="18"/>
          <w:szCs w:val="18"/>
          <w:lang w:eastAsia="es-ES"/>
        </w:rPr>
      </w:pPr>
      <w:proofErr w:type="gramStart"/>
      <w:r w:rsidRPr="00253CF8">
        <w:rPr>
          <w:rFonts w:ascii="Arial" w:eastAsia="Times New Roman" w:hAnsi="Arial" w:cs="Arial"/>
          <w:i/>
          <w:iCs/>
          <w:color w:val="333333"/>
          <w:sz w:val="18"/>
          <w:lang w:eastAsia="es-ES"/>
        </w:rPr>
        <w:t>Trabajadores a tiempo parcial</w:t>
      </w:r>
      <w:proofErr w:type="gramEnd"/>
      <w:r w:rsidRPr="00253CF8">
        <w:rPr>
          <w:rFonts w:ascii="Arial" w:eastAsia="Times New Roman" w:hAnsi="Arial" w:cs="Arial"/>
          <w:i/>
          <w:iCs/>
          <w:color w:val="333333"/>
          <w:sz w:val="18"/>
          <w:lang w:eastAsia="es-ES"/>
        </w:rPr>
        <w:t>:</w:t>
      </w:r>
      <w:r w:rsidRPr="00253CF8">
        <w:rPr>
          <w:rFonts w:ascii="Arial" w:eastAsia="Times New Roman" w:hAnsi="Arial" w:cs="Arial"/>
          <w:i/>
          <w:iCs/>
          <w:color w:val="333333"/>
          <w:sz w:val="18"/>
          <w:szCs w:val="18"/>
          <w:lang w:eastAsia="es-ES"/>
        </w:rPr>
        <w:br/>
      </w:r>
      <w:r w:rsidRPr="00253CF8">
        <w:rPr>
          <w:rFonts w:ascii="Arial" w:eastAsia="Times New Roman" w:hAnsi="Arial" w:cs="Arial"/>
          <w:i/>
          <w:iCs/>
          <w:color w:val="333333"/>
          <w:sz w:val="18"/>
          <w:szCs w:val="18"/>
          <w:lang w:eastAsia="es-ES"/>
        </w:rPr>
        <w:br/>
      </w:r>
      <w:r w:rsidRPr="00253CF8">
        <w:rPr>
          <w:rFonts w:ascii="Arial" w:eastAsia="Times New Roman" w:hAnsi="Arial" w:cs="Arial"/>
          <w:color w:val="333333"/>
          <w:sz w:val="18"/>
          <w:szCs w:val="18"/>
          <w:lang w:eastAsia="es-ES"/>
        </w:rPr>
        <w:t xml:space="preserve">Cuando la incapacidad permanente derive de enfermedad común, para el cálculo de la BR, se tendrán en cuenta las </w:t>
      </w:r>
      <w:proofErr w:type="spellStart"/>
      <w:r w:rsidRPr="00253CF8">
        <w:rPr>
          <w:rFonts w:ascii="Arial" w:eastAsia="Times New Roman" w:hAnsi="Arial" w:cs="Arial"/>
          <w:color w:val="333333"/>
          <w:sz w:val="18"/>
          <w:szCs w:val="18"/>
          <w:lang w:eastAsia="es-ES"/>
        </w:rPr>
        <w:t>mismas</w:t>
      </w:r>
      <w:hyperlink r:id="rId13" w:anchor="177458" w:history="1">
        <w:r w:rsidRPr="00253CF8">
          <w:rPr>
            <w:rFonts w:ascii="Arial" w:eastAsia="Times New Roman" w:hAnsi="Arial" w:cs="Arial"/>
            <w:color w:val="646F93"/>
            <w:sz w:val="18"/>
            <w:u w:val="single"/>
            <w:lang w:eastAsia="es-ES"/>
          </w:rPr>
          <w:t>reglas</w:t>
        </w:r>
        <w:proofErr w:type="spellEnd"/>
      </w:hyperlink>
      <w:r w:rsidRPr="00253CF8">
        <w:rPr>
          <w:rFonts w:ascii="Arial" w:eastAsia="Times New Roman" w:hAnsi="Arial" w:cs="Arial"/>
          <w:color w:val="333333"/>
          <w:sz w:val="18"/>
          <w:lang w:eastAsia="es-ES"/>
        </w:rPr>
        <w:t> </w:t>
      </w:r>
      <w:r w:rsidRPr="00253CF8">
        <w:rPr>
          <w:rFonts w:ascii="Arial" w:eastAsia="Times New Roman" w:hAnsi="Arial" w:cs="Arial"/>
          <w:color w:val="333333"/>
          <w:sz w:val="18"/>
          <w:szCs w:val="18"/>
          <w:lang w:eastAsia="es-ES"/>
        </w:rPr>
        <w:t>que en la pensión de jubilación.</w:t>
      </w:r>
      <w:r w:rsidRPr="00253CF8">
        <w:rPr>
          <w:rFonts w:ascii="Arial" w:eastAsia="Times New Roman" w:hAnsi="Arial" w:cs="Arial"/>
          <w:color w:val="333333"/>
          <w:sz w:val="18"/>
          <w:szCs w:val="18"/>
          <w:lang w:eastAsia="es-ES"/>
        </w:rPr>
        <w:br/>
      </w:r>
      <w:r w:rsidRPr="00253CF8">
        <w:rPr>
          <w:rFonts w:ascii="Arial" w:eastAsia="Times New Roman" w:hAnsi="Arial" w:cs="Arial"/>
          <w:i/>
          <w:iCs/>
          <w:color w:val="333333"/>
          <w:sz w:val="18"/>
          <w:lang w:eastAsia="es-ES"/>
        </w:rPr>
        <w:t> </w:t>
      </w:r>
    </w:p>
    <w:p w:rsidR="00253CF8" w:rsidRPr="00253CF8" w:rsidRDefault="00253CF8" w:rsidP="00253CF8">
      <w:pPr>
        <w:numPr>
          <w:ilvl w:val="0"/>
          <w:numId w:val="6"/>
        </w:numPr>
        <w:spacing w:before="120" w:after="100" w:afterAutospacing="1" w:line="240" w:lineRule="auto"/>
        <w:ind w:left="120"/>
        <w:jc w:val="both"/>
        <w:rPr>
          <w:rFonts w:ascii="Arial" w:eastAsia="Times New Roman" w:hAnsi="Arial" w:cs="Arial"/>
          <w:color w:val="333333"/>
          <w:sz w:val="18"/>
          <w:szCs w:val="18"/>
          <w:lang w:eastAsia="es-ES"/>
        </w:rPr>
      </w:pPr>
      <w:r w:rsidRPr="00253CF8">
        <w:rPr>
          <w:rFonts w:ascii="Arial" w:eastAsia="Times New Roman" w:hAnsi="Arial" w:cs="Arial"/>
          <w:i/>
          <w:iCs/>
          <w:color w:val="333333"/>
          <w:sz w:val="18"/>
          <w:lang w:eastAsia="es-ES"/>
        </w:rPr>
        <w:t>Integración de lagunas:</w:t>
      </w:r>
      <w:r w:rsidRPr="00253CF8">
        <w:rPr>
          <w:rFonts w:ascii="Arial" w:eastAsia="Times New Roman" w:hAnsi="Arial" w:cs="Arial"/>
          <w:i/>
          <w:iCs/>
          <w:color w:val="333333"/>
          <w:sz w:val="18"/>
          <w:szCs w:val="18"/>
          <w:lang w:eastAsia="es-ES"/>
        </w:rPr>
        <w:br/>
      </w:r>
      <w:r w:rsidRPr="00253CF8">
        <w:rPr>
          <w:rFonts w:ascii="Arial" w:eastAsia="Times New Roman" w:hAnsi="Arial" w:cs="Arial"/>
          <w:i/>
          <w:iCs/>
          <w:color w:val="333333"/>
          <w:sz w:val="18"/>
          <w:szCs w:val="18"/>
          <w:lang w:eastAsia="es-ES"/>
        </w:rPr>
        <w:br/>
      </w:r>
      <w:r w:rsidRPr="00253CF8">
        <w:rPr>
          <w:rFonts w:ascii="Arial" w:eastAsia="Times New Roman" w:hAnsi="Arial" w:cs="Arial"/>
          <w:color w:val="333333"/>
          <w:sz w:val="18"/>
          <w:szCs w:val="18"/>
          <w:lang w:eastAsia="es-ES"/>
        </w:rPr>
        <w:t>A partir de 1-1-2013, si en el período que debe tomarse para el cálculo de la BR aparecieran meses durante los cuales no hubiese existido la obligación de cotizar, las primeras 48 mensualidades se integrarán con la base mínima de entre todas las existentes en cada momento y el resto de mensualidades con el 50 por 100 de dicha base mínima.</w:t>
      </w:r>
      <w:r w:rsidRPr="00253CF8">
        <w:rPr>
          <w:rFonts w:ascii="Arial" w:eastAsia="Times New Roman" w:hAnsi="Arial" w:cs="Arial"/>
          <w:color w:val="333333"/>
          <w:sz w:val="18"/>
          <w:szCs w:val="18"/>
          <w:lang w:eastAsia="es-ES"/>
        </w:rPr>
        <w:br/>
      </w:r>
      <w:r w:rsidRPr="00253CF8">
        <w:rPr>
          <w:rFonts w:ascii="Arial" w:eastAsia="Times New Roman" w:hAnsi="Arial" w:cs="Arial"/>
          <w:color w:val="333333"/>
          <w:sz w:val="18"/>
          <w:szCs w:val="18"/>
          <w:lang w:eastAsia="es-ES"/>
        </w:rPr>
        <w:br/>
        <w:t>En los supuestos en que en alguno de los meses a tener en cuenta para la determinación de la base reguladora, la obligación de cotizar exista sólo durante una parte del mes, procederá la integración señalada en el párrafo anterior por la parte del mes en que no exista obligación de cotizar, siempre que la base de cotización correspondiente al primer período no alcance la cuantía de la base mínima mensual señalada. En tal supuesto, la integración alcanzará hasta esta última cuantía.</w:t>
      </w:r>
      <w:r w:rsidRPr="00253CF8">
        <w:rPr>
          <w:rFonts w:ascii="Arial" w:eastAsia="Times New Roman" w:hAnsi="Arial" w:cs="Arial"/>
          <w:color w:val="333333"/>
          <w:sz w:val="18"/>
          <w:lang w:eastAsia="es-ES"/>
        </w:rPr>
        <w:t> </w:t>
      </w:r>
      <w:r w:rsidRPr="00253CF8">
        <w:rPr>
          <w:rFonts w:ascii="Arial" w:eastAsia="Times New Roman" w:hAnsi="Arial" w:cs="Arial"/>
          <w:color w:val="333333"/>
          <w:sz w:val="18"/>
          <w:szCs w:val="18"/>
          <w:lang w:eastAsia="es-ES"/>
        </w:rPr>
        <w:br/>
      </w:r>
      <w:r w:rsidRPr="00253CF8">
        <w:rPr>
          <w:rFonts w:ascii="Arial" w:eastAsia="Times New Roman" w:hAnsi="Arial" w:cs="Arial"/>
          <w:color w:val="333333"/>
          <w:sz w:val="18"/>
          <w:szCs w:val="18"/>
          <w:lang w:eastAsia="es-ES"/>
        </w:rPr>
        <w:br/>
        <w:t>En el caso de</w:t>
      </w:r>
      <w:r w:rsidRPr="00253CF8">
        <w:rPr>
          <w:rFonts w:ascii="Arial" w:eastAsia="Times New Roman" w:hAnsi="Arial" w:cs="Arial"/>
          <w:color w:val="333333"/>
          <w:sz w:val="18"/>
          <w:lang w:eastAsia="es-ES"/>
        </w:rPr>
        <w:t> </w:t>
      </w:r>
      <w:r w:rsidRPr="00253CF8">
        <w:rPr>
          <w:rFonts w:ascii="Arial" w:eastAsia="Times New Roman" w:hAnsi="Arial" w:cs="Arial"/>
          <w:i/>
          <w:iCs/>
          <w:color w:val="333333"/>
          <w:sz w:val="18"/>
          <w:lang w:eastAsia="es-ES"/>
        </w:rPr>
        <w:t>trabajadores incluidos en el Sistema especial para empleados de hogar</w:t>
      </w:r>
      <w:r w:rsidRPr="00253CF8">
        <w:rPr>
          <w:rFonts w:ascii="Arial" w:eastAsia="Times New Roman" w:hAnsi="Arial" w:cs="Arial"/>
          <w:color w:val="333333"/>
          <w:sz w:val="18"/>
          <w:szCs w:val="18"/>
          <w:lang w:eastAsia="es-ES"/>
        </w:rPr>
        <w:t>, desde el año 2012 hasta el año 2018, para el cálculo de la BR de la pensión de incapacidad permanente derivada de contingencias comunes sólo se tendrán en cuenta los períodos realmente cotizados (no se aplicará integración de lagunas).</w:t>
      </w:r>
      <w:r w:rsidRPr="00253CF8">
        <w:rPr>
          <w:rFonts w:ascii="Arial" w:eastAsia="Times New Roman" w:hAnsi="Arial" w:cs="Arial"/>
          <w:color w:val="333333"/>
          <w:sz w:val="18"/>
          <w:szCs w:val="18"/>
          <w:lang w:eastAsia="es-ES"/>
        </w:rPr>
        <w:br/>
      </w:r>
      <w:r w:rsidRPr="00253CF8">
        <w:rPr>
          <w:rFonts w:ascii="Arial" w:eastAsia="Times New Roman" w:hAnsi="Arial" w:cs="Arial"/>
          <w:color w:val="333333"/>
          <w:sz w:val="18"/>
          <w:szCs w:val="18"/>
          <w:lang w:eastAsia="es-ES"/>
        </w:rPr>
        <w:br/>
        <w:t>En el caso de </w:t>
      </w:r>
      <w:r w:rsidRPr="00253CF8">
        <w:rPr>
          <w:rFonts w:ascii="Arial" w:eastAsia="Times New Roman" w:hAnsi="Arial" w:cs="Arial"/>
          <w:i/>
          <w:iCs/>
          <w:color w:val="333333"/>
          <w:sz w:val="18"/>
          <w:lang w:eastAsia="es-ES"/>
        </w:rPr>
        <w:t>trabajadores incluidos en el Sistema especial para trabajadores por cuenta ajena agrarios,</w:t>
      </w:r>
      <w:r w:rsidRPr="00253CF8">
        <w:rPr>
          <w:rFonts w:ascii="Arial" w:eastAsia="Times New Roman" w:hAnsi="Arial" w:cs="Arial"/>
          <w:color w:val="333333"/>
          <w:sz w:val="18"/>
          <w:lang w:eastAsia="es-ES"/>
        </w:rPr>
        <w:t> </w:t>
      </w:r>
      <w:r w:rsidRPr="00253CF8">
        <w:rPr>
          <w:rFonts w:ascii="Arial" w:eastAsia="Times New Roman" w:hAnsi="Arial" w:cs="Arial"/>
          <w:color w:val="333333"/>
          <w:sz w:val="18"/>
          <w:szCs w:val="18"/>
          <w:lang w:eastAsia="es-ES"/>
        </w:rPr>
        <w:t>a partir de 01-01-2012, para el cálculo de la BR sólo se tendrán en cuenta los períodos realmente cotizados (no se aplicará integración de lagunas).</w:t>
      </w:r>
      <w:r w:rsidRPr="00253CF8">
        <w:rPr>
          <w:rFonts w:ascii="Arial" w:eastAsia="Times New Roman" w:hAnsi="Arial" w:cs="Arial"/>
          <w:color w:val="333333"/>
          <w:sz w:val="18"/>
          <w:szCs w:val="18"/>
          <w:lang w:eastAsia="es-ES"/>
        </w:rPr>
        <w:br/>
      </w:r>
      <w:r w:rsidRPr="00253CF8">
        <w:rPr>
          <w:rFonts w:ascii="Arial" w:eastAsia="Times New Roman" w:hAnsi="Arial" w:cs="Arial"/>
          <w:color w:val="333333"/>
          <w:sz w:val="18"/>
          <w:szCs w:val="18"/>
          <w:lang w:eastAsia="es-ES"/>
        </w:rPr>
        <w:br/>
      </w:r>
      <w:r w:rsidRPr="00253CF8">
        <w:rPr>
          <w:rFonts w:ascii="Arial" w:eastAsia="Times New Roman" w:hAnsi="Arial" w:cs="Arial"/>
          <w:i/>
          <w:iCs/>
          <w:color w:val="333333"/>
          <w:sz w:val="18"/>
          <w:lang w:eastAsia="es-ES"/>
        </w:rPr>
        <w:t>En los supuestos de contratos a tiempo parcial, de relevo y fijos discontinuos</w:t>
      </w:r>
      <w:r w:rsidRPr="00253CF8">
        <w:rPr>
          <w:rFonts w:ascii="Arial" w:eastAsia="Times New Roman" w:hAnsi="Arial" w:cs="Arial"/>
          <w:color w:val="333333"/>
          <w:sz w:val="18"/>
          <w:lang w:eastAsia="es-ES"/>
        </w:rPr>
        <w:t> </w:t>
      </w:r>
      <w:r w:rsidRPr="00253CF8">
        <w:rPr>
          <w:rFonts w:ascii="Arial" w:eastAsia="Times New Roman" w:hAnsi="Arial" w:cs="Arial"/>
          <w:color w:val="333333"/>
          <w:sz w:val="18"/>
          <w:szCs w:val="18"/>
          <w:lang w:eastAsia="es-ES"/>
        </w:rPr>
        <w:t>deberá tenerse en cuenta que:</w:t>
      </w:r>
    </w:p>
    <w:p w:rsidR="00253CF8" w:rsidRPr="00253CF8" w:rsidRDefault="00253CF8" w:rsidP="00253CF8">
      <w:pPr>
        <w:numPr>
          <w:ilvl w:val="1"/>
          <w:numId w:val="7"/>
        </w:numPr>
        <w:spacing w:before="120" w:after="100" w:afterAutospacing="1" w:line="240" w:lineRule="auto"/>
        <w:ind w:left="540"/>
        <w:jc w:val="both"/>
        <w:rPr>
          <w:rFonts w:ascii="Arial" w:eastAsia="Times New Roman" w:hAnsi="Arial" w:cs="Arial"/>
          <w:color w:val="333333"/>
          <w:sz w:val="18"/>
          <w:szCs w:val="18"/>
          <w:lang w:eastAsia="es-ES"/>
        </w:rPr>
      </w:pPr>
      <w:r w:rsidRPr="00253CF8">
        <w:rPr>
          <w:rFonts w:ascii="Arial" w:eastAsia="Times New Roman" w:hAnsi="Arial" w:cs="Arial"/>
          <w:color w:val="333333"/>
          <w:sz w:val="18"/>
          <w:szCs w:val="18"/>
          <w:lang w:eastAsia="es-ES"/>
        </w:rPr>
        <w:t xml:space="preserve">La integración de los períodos, durante los que no haya habido obligación de cotizar, se llevará a cabo con la base mínima de cotización de entre las aplicables en cada momento, correspondiente al número de horas contratadas en la fecha en que se interrumpió o extinguió la obligación de cotizar. Si la obligación de cotizar existe sólo durante una parte del mes, la integración procederá </w:t>
      </w:r>
      <w:r w:rsidRPr="00253CF8">
        <w:rPr>
          <w:rFonts w:ascii="Arial" w:eastAsia="Times New Roman" w:hAnsi="Arial" w:cs="Arial"/>
          <w:color w:val="333333"/>
          <w:sz w:val="18"/>
          <w:szCs w:val="18"/>
          <w:lang w:eastAsia="es-ES"/>
        </w:rPr>
        <w:lastRenderedPageBreak/>
        <w:t>por la parte del mes en que no exista obligación de cotizar, siempre que la base de cotización correspondiente no alcance la cuantía de la base mínima citada.</w:t>
      </w:r>
    </w:p>
    <w:p w:rsidR="00253CF8" w:rsidRPr="00253CF8" w:rsidRDefault="00253CF8" w:rsidP="00253CF8">
      <w:pPr>
        <w:numPr>
          <w:ilvl w:val="1"/>
          <w:numId w:val="7"/>
        </w:numPr>
        <w:spacing w:before="120" w:after="100" w:afterAutospacing="1" w:line="240" w:lineRule="auto"/>
        <w:ind w:left="540"/>
        <w:jc w:val="both"/>
        <w:rPr>
          <w:rFonts w:ascii="Arial" w:eastAsia="Times New Roman" w:hAnsi="Arial" w:cs="Arial"/>
          <w:color w:val="333333"/>
          <w:sz w:val="18"/>
          <w:szCs w:val="18"/>
          <w:lang w:eastAsia="es-ES"/>
        </w:rPr>
      </w:pPr>
      <w:r w:rsidRPr="00253CF8">
        <w:rPr>
          <w:rFonts w:ascii="Arial" w:eastAsia="Times New Roman" w:hAnsi="Arial" w:cs="Arial"/>
          <w:color w:val="333333"/>
          <w:sz w:val="18"/>
          <w:szCs w:val="18"/>
          <w:lang w:eastAsia="es-ES"/>
        </w:rPr>
        <w:t>A excepción de los períodos entre temporadas o campañas de los trabajadores con contrato de trabajo fijo-discontinuo, en ningún caso se considerarán lagunas de cotización las horas o días en que no se trabaje en razón a las interrupciones en la prestación de servicios derivadas del propio contrato a tiempo parcial.</w:t>
      </w:r>
    </w:p>
    <w:p w:rsidR="00253CF8" w:rsidRPr="00253CF8" w:rsidRDefault="00253CF8" w:rsidP="00253CF8">
      <w:pPr>
        <w:spacing w:before="100" w:beforeAutospacing="1" w:after="100" w:afterAutospacing="1" w:line="240" w:lineRule="auto"/>
        <w:jc w:val="both"/>
        <w:rPr>
          <w:rFonts w:ascii="Arial" w:eastAsia="Times New Roman" w:hAnsi="Arial" w:cs="Arial"/>
          <w:color w:val="333333"/>
          <w:sz w:val="18"/>
          <w:szCs w:val="18"/>
          <w:lang w:eastAsia="es-ES"/>
        </w:rPr>
      </w:pPr>
      <w:r w:rsidRPr="00253CF8">
        <w:rPr>
          <w:rFonts w:ascii="Arial" w:eastAsia="Times New Roman" w:hAnsi="Arial" w:cs="Arial"/>
          <w:b/>
          <w:bCs/>
          <w:color w:val="333333"/>
          <w:sz w:val="18"/>
          <w:lang w:eastAsia="es-ES"/>
        </w:rPr>
        <w:t>Si la incapacidad deriva de accidente no laboral:</w:t>
      </w:r>
      <w:r w:rsidRPr="00253CF8">
        <w:rPr>
          <w:rFonts w:ascii="Arial" w:eastAsia="Times New Roman" w:hAnsi="Arial" w:cs="Arial"/>
          <w:b/>
          <w:bCs/>
          <w:color w:val="333333"/>
          <w:sz w:val="18"/>
          <w:szCs w:val="18"/>
          <w:lang w:eastAsia="es-ES"/>
        </w:rPr>
        <w:br/>
      </w:r>
      <w:r w:rsidRPr="00253CF8">
        <w:rPr>
          <w:rFonts w:ascii="Arial" w:eastAsia="Times New Roman" w:hAnsi="Arial" w:cs="Arial"/>
          <w:b/>
          <w:bCs/>
          <w:color w:val="333333"/>
          <w:sz w:val="18"/>
          <w:szCs w:val="18"/>
          <w:lang w:eastAsia="es-ES"/>
        </w:rPr>
        <w:br/>
      </w:r>
      <w:r w:rsidRPr="00253CF8">
        <w:rPr>
          <w:rFonts w:ascii="Arial" w:eastAsia="Times New Roman" w:hAnsi="Arial" w:cs="Arial"/>
          <w:color w:val="333333"/>
          <w:sz w:val="18"/>
          <w:szCs w:val="18"/>
          <w:lang w:eastAsia="es-ES"/>
        </w:rPr>
        <w:t>La BR será el cociente que resulte de dividir por 28 la suma de las bases de cotización del interesado durante un período ininterrumpido de 24 meses. Dicho período será elegido por el beneficiario dentro de los 7 años inmediatamente anteriores a la fecha del hecho causante de la pensión.</w:t>
      </w:r>
      <w:r w:rsidRPr="00253CF8">
        <w:rPr>
          <w:rFonts w:ascii="Arial" w:eastAsia="Times New Roman" w:hAnsi="Arial" w:cs="Arial"/>
          <w:color w:val="333333"/>
          <w:sz w:val="18"/>
          <w:szCs w:val="18"/>
          <w:lang w:eastAsia="es-ES"/>
        </w:rPr>
        <w:br/>
      </w:r>
      <w:r w:rsidRPr="00253CF8">
        <w:rPr>
          <w:rFonts w:ascii="Arial" w:eastAsia="Times New Roman" w:hAnsi="Arial" w:cs="Arial"/>
          <w:color w:val="333333"/>
          <w:sz w:val="18"/>
          <w:szCs w:val="18"/>
          <w:lang w:eastAsia="es-ES"/>
        </w:rPr>
        <w:br/>
        <w:t>Si en la fecha del hecho causante el interesado no hubiera completado el período de 24 mensualidades ininterrumpidas de cotización, la BR se determinará utilizando la fórmula más beneficiosa de las dos siguientes: la prevista en el párrafo anterior o la que resulte de dividir entre 28 la suma de las bases mínimas de cotización vigentes en los 24 meses inmediatamente anteriores al hecho causante de la incapacidad, tomadas éstas en la cuantía correspondiente a la jornada laboral contratada en último término por el causante.</w:t>
      </w:r>
    </w:p>
    <w:p w:rsidR="00253CF8" w:rsidRPr="00253CF8" w:rsidRDefault="00253CF8" w:rsidP="00253CF8">
      <w:pPr>
        <w:spacing w:after="0" w:line="240" w:lineRule="auto"/>
        <w:rPr>
          <w:rFonts w:ascii="Arial" w:eastAsia="Times New Roman" w:hAnsi="Arial" w:cs="Arial"/>
          <w:color w:val="333333"/>
          <w:sz w:val="18"/>
          <w:szCs w:val="18"/>
          <w:lang w:eastAsia="es-ES"/>
        </w:rPr>
      </w:pPr>
    </w:p>
    <w:p w:rsidR="00253CF8" w:rsidRPr="00253CF8" w:rsidRDefault="00253CF8" w:rsidP="00253CF8">
      <w:pPr>
        <w:spacing w:before="100" w:beforeAutospacing="1" w:after="240" w:line="240" w:lineRule="auto"/>
        <w:jc w:val="both"/>
        <w:rPr>
          <w:rFonts w:ascii="Arial" w:eastAsia="Times New Roman" w:hAnsi="Arial" w:cs="Arial"/>
          <w:color w:val="333333"/>
          <w:sz w:val="18"/>
          <w:szCs w:val="18"/>
          <w:lang w:eastAsia="es-ES"/>
        </w:rPr>
      </w:pPr>
      <w:r w:rsidRPr="00253CF8">
        <w:rPr>
          <w:rFonts w:ascii="Arial" w:eastAsia="Times New Roman" w:hAnsi="Arial" w:cs="Arial"/>
          <w:b/>
          <w:bCs/>
          <w:color w:val="333333"/>
          <w:sz w:val="18"/>
          <w:lang w:eastAsia="es-ES"/>
        </w:rPr>
        <w:t>Si la incapacidad deriva de accidente de trabajo o enfermedad profesional:</w:t>
      </w:r>
      <w:r w:rsidRPr="00253CF8">
        <w:rPr>
          <w:rFonts w:ascii="Arial" w:eastAsia="Times New Roman" w:hAnsi="Arial" w:cs="Arial"/>
          <w:b/>
          <w:bCs/>
          <w:color w:val="333333"/>
          <w:sz w:val="18"/>
          <w:szCs w:val="18"/>
          <w:lang w:eastAsia="es-ES"/>
        </w:rPr>
        <w:br/>
      </w:r>
      <w:r w:rsidRPr="00253CF8">
        <w:rPr>
          <w:rFonts w:ascii="Arial" w:eastAsia="Times New Roman" w:hAnsi="Arial" w:cs="Arial"/>
          <w:b/>
          <w:bCs/>
          <w:color w:val="333333"/>
          <w:sz w:val="18"/>
          <w:szCs w:val="18"/>
          <w:lang w:eastAsia="es-ES"/>
        </w:rPr>
        <w:br/>
      </w:r>
      <w:r w:rsidRPr="00253CF8">
        <w:rPr>
          <w:rFonts w:ascii="Arial" w:eastAsia="Times New Roman" w:hAnsi="Arial" w:cs="Arial"/>
          <w:color w:val="333333"/>
          <w:sz w:val="18"/>
          <w:szCs w:val="18"/>
          <w:lang w:eastAsia="es-ES"/>
        </w:rPr>
        <w:t>La BR se calcula sobre salarios reales, teniendo en cuenta que no pueden exceder del tope máximo de cotización ni ser inferiores al tope mínimo, vigentes al sobrevenir la incapacidad. Será el cociente de dividir por 12 los siguientes sumandos:</w:t>
      </w:r>
    </w:p>
    <w:p w:rsidR="00253CF8" w:rsidRPr="00253CF8" w:rsidRDefault="00253CF8" w:rsidP="00253CF8">
      <w:pPr>
        <w:numPr>
          <w:ilvl w:val="0"/>
          <w:numId w:val="8"/>
        </w:numPr>
        <w:spacing w:before="120" w:after="100" w:afterAutospacing="1" w:line="240" w:lineRule="auto"/>
        <w:ind w:left="120"/>
        <w:jc w:val="both"/>
        <w:rPr>
          <w:rFonts w:ascii="Arial" w:eastAsia="Times New Roman" w:hAnsi="Arial" w:cs="Arial"/>
          <w:color w:val="333333"/>
          <w:sz w:val="18"/>
          <w:szCs w:val="18"/>
          <w:lang w:eastAsia="es-ES"/>
        </w:rPr>
      </w:pPr>
      <w:r w:rsidRPr="00253CF8">
        <w:rPr>
          <w:rFonts w:ascii="Arial" w:eastAsia="Times New Roman" w:hAnsi="Arial" w:cs="Arial"/>
          <w:color w:val="333333"/>
          <w:sz w:val="18"/>
          <w:szCs w:val="18"/>
          <w:lang w:eastAsia="es-ES"/>
        </w:rPr>
        <w:t>Sueldo y antigüedad diarios del trabajador en la fecha del accidente o de la baja por enfermedad por 365 días.</w:t>
      </w:r>
      <w:r w:rsidRPr="00253CF8">
        <w:rPr>
          <w:rFonts w:ascii="Arial" w:eastAsia="Times New Roman" w:hAnsi="Arial" w:cs="Arial"/>
          <w:color w:val="333333"/>
          <w:sz w:val="18"/>
          <w:lang w:eastAsia="es-ES"/>
        </w:rPr>
        <w:t> </w:t>
      </w:r>
      <w:r w:rsidRPr="00253CF8">
        <w:rPr>
          <w:rFonts w:ascii="Arial" w:eastAsia="Times New Roman" w:hAnsi="Arial" w:cs="Arial"/>
          <w:color w:val="333333"/>
          <w:sz w:val="18"/>
          <w:szCs w:val="18"/>
          <w:lang w:eastAsia="es-ES"/>
        </w:rPr>
        <w:br/>
      </w:r>
      <w:r w:rsidRPr="00253CF8">
        <w:rPr>
          <w:rFonts w:ascii="Arial" w:eastAsia="Times New Roman" w:hAnsi="Arial" w:cs="Arial"/>
          <w:color w:val="333333"/>
          <w:sz w:val="18"/>
          <w:szCs w:val="18"/>
          <w:lang w:eastAsia="es-ES"/>
        </w:rPr>
        <w:br/>
        <w:t>En los supuestos de</w:t>
      </w:r>
      <w:r w:rsidRPr="00253CF8">
        <w:rPr>
          <w:rFonts w:ascii="Arial" w:eastAsia="Times New Roman" w:hAnsi="Arial" w:cs="Arial"/>
          <w:color w:val="333333"/>
          <w:sz w:val="18"/>
          <w:lang w:eastAsia="es-ES"/>
        </w:rPr>
        <w:t> </w:t>
      </w:r>
      <w:r w:rsidRPr="00253CF8">
        <w:rPr>
          <w:rFonts w:ascii="Arial" w:eastAsia="Times New Roman" w:hAnsi="Arial" w:cs="Arial"/>
          <w:i/>
          <w:iCs/>
          <w:color w:val="333333"/>
          <w:sz w:val="18"/>
          <w:lang w:eastAsia="es-ES"/>
        </w:rPr>
        <w:t>contratos a tiempo parcial y de relevo, </w:t>
      </w:r>
      <w:r w:rsidRPr="00253CF8">
        <w:rPr>
          <w:rFonts w:ascii="Arial" w:eastAsia="Times New Roman" w:hAnsi="Arial" w:cs="Arial"/>
          <w:color w:val="333333"/>
          <w:sz w:val="18"/>
          <w:szCs w:val="18"/>
          <w:lang w:eastAsia="es-ES"/>
        </w:rPr>
        <w:t>en que el trabajador no preste servicios todos los días o, prestándolos, su jornada de trabajo sea irregular o variable, el salario diario será el que resulte de dividir entre 7 ó 30 el semanal o mensual pactado en función de la distribución de las horas de trabajo concretadas en el contrato para cada uno de esos períodos.</w:t>
      </w:r>
      <w:r w:rsidRPr="00253CF8">
        <w:rPr>
          <w:rFonts w:ascii="Arial" w:eastAsia="Times New Roman" w:hAnsi="Arial" w:cs="Arial"/>
          <w:color w:val="333333"/>
          <w:sz w:val="18"/>
          <w:szCs w:val="18"/>
          <w:lang w:eastAsia="es-ES"/>
        </w:rPr>
        <w:br/>
      </w:r>
      <w:r w:rsidRPr="00253CF8">
        <w:rPr>
          <w:rFonts w:ascii="Arial" w:eastAsia="Times New Roman" w:hAnsi="Arial" w:cs="Arial"/>
          <w:color w:val="333333"/>
          <w:sz w:val="18"/>
          <w:szCs w:val="18"/>
          <w:lang w:eastAsia="es-ES"/>
        </w:rPr>
        <w:br/>
      </w:r>
      <w:r w:rsidRPr="00253CF8">
        <w:rPr>
          <w:rFonts w:ascii="Arial" w:eastAsia="Times New Roman" w:hAnsi="Arial" w:cs="Arial"/>
          <w:i/>
          <w:iCs/>
          <w:color w:val="333333"/>
          <w:sz w:val="18"/>
          <w:lang w:eastAsia="es-ES"/>
        </w:rPr>
        <w:t>En los supuestos de contratos fijos-discontinuos</w:t>
      </w:r>
      <w:r w:rsidRPr="00253CF8">
        <w:rPr>
          <w:rFonts w:ascii="Arial" w:eastAsia="Times New Roman" w:hAnsi="Arial" w:cs="Arial"/>
          <w:color w:val="333333"/>
          <w:sz w:val="18"/>
          <w:szCs w:val="18"/>
          <w:lang w:eastAsia="es-ES"/>
        </w:rPr>
        <w:t>, el salario diario será el que resulte de dividir entre el número de días naturales de campaña transcurridos hasta la fecha del hecho causante, los salarios percibidos por el trabajador en el mismo período.</w:t>
      </w:r>
    </w:p>
    <w:p w:rsidR="00253CF8" w:rsidRPr="00253CF8" w:rsidRDefault="00253CF8" w:rsidP="00253CF8">
      <w:pPr>
        <w:numPr>
          <w:ilvl w:val="0"/>
          <w:numId w:val="8"/>
        </w:numPr>
        <w:spacing w:before="120" w:after="100" w:afterAutospacing="1" w:line="240" w:lineRule="auto"/>
        <w:ind w:left="120"/>
        <w:jc w:val="both"/>
        <w:rPr>
          <w:rFonts w:ascii="Arial" w:eastAsia="Times New Roman" w:hAnsi="Arial" w:cs="Arial"/>
          <w:color w:val="333333"/>
          <w:sz w:val="18"/>
          <w:szCs w:val="18"/>
          <w:lang w:eastAsia="es-ES"/>
        </w:rPr>
      </w:pPr>
      <w:r w:rsidRPr="00253CF8">
        <w:rPr>
          <w:rFonts w:ascii="Arial" w:eastAsia="Times New Roman" w:hAnsi="Arial" w:cs="Arial"/>
          <w:color w:val="333333"/>
          <w:sz w:val="18"/>
          <w:szCs w:val="18"/>
          <w:lang w:eastAsia="es-ES"/>
        </w:rPr>
        <w:t>Pagas extraordinarias, beneficios o participación, por su importe total en el año anterior al accidente.</w:t>
      </w:r>
    </w:p>
    <w:p w:rsidR="00253CF8" w:rsidRPr="00253CF8" w:rsidRDefault="00253CF8" w:rsidP="00253CF8">
      <w:pPr>
        <w:numPr>
          <w:ilvl w:val="0"/>
          <w:numId w:val="8"/>
        </w:numPr>
        <w:spacing w:before="120" w:after="100" w:afterAutospacing="1" w:line="240" w:lineRule="auto"/>
        <w:ind w:left="120"/>
        <w:jc w:val="both"/>
        <w:rPr>
          <w:rFonts w:ascii="Arial" w:eastAsia="Times New Roman" w:hAnsi="Arial" w:cs="Arial"/>
          <w:color w:val="333333"/>
          <w:sz w:val="18"/>
          <w:szCs w:val="18"/>
          <w:lang w:eastAsia="es-ES"/>
        </w:rPr>
      </w:pPr>
      <w:r w:rsidRPr="00253CF8">
        <w:rPr>
          <w:rFonts w:ascii="Arial" w:eastAsia="Times New Roman" w:hAnsi="Arial" w:cs="Arial"/>
          <w:color w:val="333333"/>
          <w:sz w:val="18"/>
          <w:szCs w:val="18"/>
          <w:lang w:eastAsia="es-ES"/>
        </w:rPr>
        <w:t>El cociente de dividir los pluses, retribuciones complementarias y horas extraordinarias percibidas en el año anterior al accidente, por el número de días efectivamente trabajados en dicho período. El resultado se multiplicará por 273, salvo que el número de días laborales efectivos en la actividad de que se trate sea menor, en cuyo caso, se aplicará el multiplicador que corresponda.</w:t>
      </w:r>
      <w:r w:rsidRPr="00253CF8">
        <w:rPr>
          <w:rFonts w:ascii="Arial" w:eastAsia="Times New Roman" w:hAnsi="Arial" w:cs="Arial"/>
          <w:color w:val="333333"/>
          <w:sz w:val="18"/>
          <w:lang w:eastAsia="es-ES"/>
        </w:rPr>
        <w:t> </w:t>
      </w:r>
      <w:r w:rsidRPr="00253CF8">
        <w:rPr>
          <w:rFonts w:ascii="Arial" w:eastAsia="Times New Roman" w:hAnsi="Arial" w:cs="Arial"/>
          <w:color w:val="333333"/>
          <w:sz w:val="18"/>
          <w:szCs w:val="18"/>
          <w:lang w:eastAsia="es-ES"/>
        </w:rPr>
        <w:br/>
      </w:r>
      <w:r w:rsidRPr="00253CF8">
        <w:rPr>
          <w:rFonts w:ascii="Arial" w:eastAsia="Times New Roman" w:hAnsi="Arial" w:cs="Arial"/>
          <w:color w:val="333333"/>
          <w:sz w:val="18"/>
          <w:szCs w:val="18"/>
          <w:lang w:eastAsia="es-ES"/>
        </w:rPr>
        <w:br/>
        <w:t>La cuantía computable en concepto de horas extraordinarias no podrá exceder del importe que resulte de multiplicar el promedio por el que se haya remunerado cada hora extraordinaria, por el tope máximo laboral anual de horas extraordinarias, fijado en el art. 35.2 del Estatuto de los Trabajadores.</w:t>
      </w:r>
      <w:r w:rsidRPr="00253CF8">
        <w:rPr>
          <w:rFonts w:ascii="Arial" w:eastAsia="Times New Roman" w:hAnsi="Arial" w:cs="Arial"/>
          <w:color w:val="333333"/>
          <w:sz w:val="18"/>
          <w:szCs w:val="18"/>
          <w:lang w:eastAsia="es-ES"/>
        </w:rPr>
        <w:br/>
      </w:r>
      <w:r w:rsidRPr="00253CF8">
        <w:rPr>
          <w:rFonts w:ascii="Arial" w:eastAsia="Times New Roman" w:hAnsi="Arial" w:cs="Arial"/>
          <w:color w:val="333333"/>
          <w:sz w:val="18"/>
          <w:szCs w:val="18"/>
          <w:lang w:eastAsia="es-ES"/>
        </w:rPr>
        <w:br/>
        <w:t>En los supuestos de</w:t>
      </w:r>
      <w:r w:rsidRPr="00253CF8">
        <w:rPr>
          <w:rFonts w:ascii="Arial" w:eastAsia="Times New Roman" w:hAnsi="Arial" w:cs="Arial"/>
          <w:color w:val="333333"/>
          <w:sz w:val="18"/>
          <w:lang w:eastAsia="es-ES"/>
        </w:rPr>
        <w:t> </w:t>
      </w:r>
      <w:proofErr w:type="gramStart"/>
      <w:r w:rsidRPr="00253CF8">
        <w:rPr>
          <w:rFonts w:ascii="Arial" w:eastAsia="Times New Roman" w:hAnsi="Arial" w:cs="Arial"/>
          <w:i/>
          <w:iCs/>
          <w:color w:val="333333"/>
          <w:sz w:val="18"/>
          <w:lang w:eastAsia="es-ES"/>
        </w:rPr>
        <w:t>contratos a tiempo parcial, de relevo y fijos-discontinuos</w:t>
      </w:r>
      <w:proofErr w:type="gramEnd"/>
      <w:r w:rsidRPr="00253CF8">
        <w:rPr>
          <w:rFonts w:ascii="Arial" w:eastAsia="Times New Roman" w:hAnsi="Arial" w:cs="Arial"/>
          <w:color w:val="333333"/>
          <w:sz w:val="18"/>
          <w:szCs w:val="18"/>
          <w:lang w:eastAsia="es-ES"/>
        </w:rPr>
        <w:t>, la suma de los complementos salariales percibidos por el interesado en el año anterior al del hecho causante se dividirá entre el número de horas efectivamente trabajadas en ese período. El resultado así obtenido se multiplicará por la cifra que resulte de aplicar a 1826 el coeficiente de proporcionalidad existente entre la jornada habitual de la actividad de que se trate y la que se recoja en el contrato.</w:t>
      </w:r>
    </w:p>
    <w:p w:rsidR="00253CF8" w:rsidRPr="00253CF8" w:rsidRDefault="00253CF8" w:rsidP="00253CF8">
      <w:pPr>
        <w:spacing w:before="100" w:beforeAutospacing="1" w:after="100" w:afterAutospacing="1" w:line="240" w:lineRule="auto"/>
        <w:jc w:val="both"/>
        <w:rPr>
          <w:rFonts w:ascii="Arial" w:eastAsia="Times New Roman" w:hAnsi="Arial" w:cs="Arial"/>
          <w:color w:val="333333"/>
          <w:sz w:val="18"/>
          <w:szCs w:val="18"/>
          <w:lang w:eastAsia="es-ES"/>
        </w:rPr>
      </w:pPr>
      <w:r w:rsidRPr="00253CF8">
        <w:rPr>
          <w:rFonts w:ascii="Arial" w:eastAsia="Times New Roman" w:hAnsi="Arial" w:cs="Arial"/>
          <w:color w:val="333333"/>
          <w:sz w:val="18"/>
          <w:szCs w:val="18"/>
          <w:lang w:eastAsia="es-ES"/>
        </w:rPr>
        <w:t>En el caso de</w:t>
      </w:r>
      <w:r w:rsidRPr="00253CF8">
        <w:rPr>
          <w:rFonts w:ascii="Arial" w:eastAsia="Times New Roman" w:hAnsi="Arial" w:cs="Arial"/>
          <w:color w:val="333333"/>
          <w:sz w:val="18"/>
          <w:lang w:eastAsia="es-ES"/>
        </w:rPr>
        <w:t> </w:t>
      </w:r>
      <w:r w:rsidRPr="00253CF8">
        <w:rPr>
          <w:rFonts w:ascii="Arial" w:eastAsia="Times New Roman" w:hAnsi="Arial" w:cs="Arial"/>
          <w:i/>
          <w:iCs/>
          <w:color w:val="333333"/>
          <w:sz w:val="18"/>
          <w:lang w:eastAsia="es-ES"/>
        </w:rPr>
        <w:t>trabajadores incluidos en el Sistema especial para empleados de hogar, </w:t>
      </w:r>
      <w:r w:rsidRPr="00253CF8">
        <w:rPr>
          <w:rFonts w:ascii="Arial" w:eastAsia="Times New Roman" w:hAnsi="Arial" w:cs="Arial"/>
          <w:color w:val="333333"/>
          <w:sz w:val="18"/>
          <w:szCs w:val="18"/>
          <w:lang w:eastAsia="es-ES"/>
        </w:rPr>
        <w:t>la BR será equivalente a la base de cotización del empleado de hogar en la fecha del hecho causante de la prestación.</w:t>
      </w:r>
    </w:p>
    <w:p w:rsidR="00253CF8" w:rsidRPr="00253CF8" w:rsidRDefault="00253CF8" w:rsidP="00253CF8">
      <w:pPr>
        <w:spacing w:before="100" w:beforeAutospacing="1" w:after="100" w:afterAutospacing="1" w:line="240" w:lineRule="auto"/>
        <w:jc w:val="both"/>
        <w:rPr>
          <w:rFonts w:ascii="Arial" w:eastAsia="Times New Roman" w:hAnsi="Arial" w:cs="Arial"/>
          <w:color w:val="333333"/>
          <w:sz w:val="18"/>
          <w:szCs w:val="18"/>
          <w:lang w:eastAsia="es-ES"/>
        </w:rPr>
      </w:pPr>
      <w:proofErr w:type="spellStart"/>
      <w:r w:rsidRPr="00253CF8">
        <w:rPr>
          <w:rFonts w:ascii="Arial" w:eastAsia="Times New Roman" w:hAnsi="Arial" w:cs="Arial"/>
          <w:b/>
          <w:bCs/>
          <w:color w:val="333333"/>
          <w:sz w:val="18"/>
          <w:lang w:eastAsia="es-ES"/>
        </w:rPr>
        <w:t>Pluriactividad</w:t>
      </w:r>
      <w:proofErr w:type="spellEnd"/>
      <w:r w:rsidRPr="00253CF8">
        <w:rPr>
          <w:rFonts w:ascii="Arial" w:eastAsia="Times New Roman" w:hAnsi="Arial" w:cs="Arial"/>
          <w:b/>
          <w:bCs/>
          <w:color w:val="333333"/>
          <w:sz w:val="18"/>
          <w:lang w:eastAsia="es-ES"/>
        </w:rPr>
        <w:t>:</w:t>
      </w:r>
      <w:r w:rsidRPr="00253CF8">
        <w:rPr>
          <w:rFonts w:ascii="Arial" w:eastAsia="Times New Roman" w:hAnsi="Arial" w:cs="Arial"/>
          <w:b/>
          <w:bCs/>
          <w:color w:val="333333"/>
          <w:sz w:val="18"/>
          <w:szCs w:val="18"/>
          <w:lang w:eastAsia="es-ES"/>
        </w:rPr>
        <w:br/>
      </w:r>
      <w:r w:rsidRPr="00253CF8">
        <w:rPr>
          <w:rFonts w:ascii="Arial" w:eastAsia="Times New Roman" w:hAnsi="Arial" w:cs="Arial"/>
          <w:b/>
          <w:bCs/>
          <w:color w:val="333333"/>
          <w:sz w:val="18"/>
          <w:szCs w:val="18"/>
          <w:lang w:eastAsia="es-ES"/>
        </w:rPr>
        <w:br/>
      </w:r>
      <w:r w:rsidRPr="00253CF8">
        <w:rPr>
          <w:rFonts w:ascii="Arial" w:eastAsia="Times New Roman" w:hAnsi="Arial" w:cs="Arial"/>
          <w:color w:val="333333"/>
          <w:sz w:val="18"/>
          <w:szCs w:val="18"/>
          <w:lang w:eastAsia="es-ES"/>
        </w:rPr>
        <w:t xml:space="preserve">Cuando se acrediten cotizaciones a varios regímenes y no se cause derecho a pensión en uno de ellos, las bases de cotización acreditadas en este último, en régimen de </w:t>
      </w:r>
      <w:proofErr w:type="spellStart"/>
      <w:r w:rsidRPr="00253CF8">
        <w:rPr>
          <w:rFonts w:ascii="Arial" w:eastAsia="Times New Roman" w:hAnsi="Arial" w:cs="Arial"/>
          <w:color w:val="333333"/>
          <w:sz w:val="18"/>
          <w:szCs w:val="18"/>
          <w:lang w:eastAsia="es-ES"/>
        </w:rPr>
        <w:t>pluriactividad</w:t>
      </w:r>
      <w:proofErr w:type="spellEnd"/>
      <w:r w:rsidRPr="00253CF8">
        <w:rPr>
          <w:rFonts w:ascii="Arial" w:eastAsia="Times New Roman" w:hAnsi="Arial" w:cs="Arial"/>
          <w:color w:val="333333"/>
          <w:sz w:val="18"/>
          <w:szCs w:val="18"/>
          <w:lang w:eastAsia="es-ES"/>
        </w:rPr>
        <w:t xml:space="preserve">, podrán ser acumuladas a </w:t>
      </w:r>
      <w:r w:rsidRPr="00253CF8">
        <w:rPr>
          <w:rFonts w:ascii="Arial" w:eastAsia="Times New Roman" w:hAnsi="Arial" w:cs="Arial"/>
          <w:color w:val="333333"/>
          <w:sz w:val="18"/>
          <w:szCs w:val="18"/>
          <w:lang w:eastAsia="es-ES"/>
        </w:rPr>
        <w:lastRenderedPageBreak/>
        <w:t>las del régimen en que se cause la pensión, exclusivamente para determinar la BR, sin que la suma de las bases pueda exceder del límite máximo de cotización vigente en cada momento.</w:t>
      </w:r>
    </w:p>
    <w:p w:rsidR="00253CF8" w:rsidRPr="00253CF8" w:rsidRDefault="00253CF8" w:rsidP="00253CF8">
      <w:pPr>
        <w:shd w:val="clear" w:color="auto" w:fill="EEEEEE"/>
        <w:spacing w:after="120" w:line="240" w:lineRule="auto"/>
        <w:textAlignment w:val="center"/>
        <w:outlineLvl w:val="2"/>
        <w:rPr>
          <w:rFonts w:ascii="Arial" w:eastAsia="Times New Roman" w:hAnsi="Arial" w:cs="Arial"/>
          <w:b/>
          <w:bCs/>
          <w:color w:val="000000"/>
          <w:sz w:val="23"/>
          <w:szCs w:val="23"/>
          <w:lang w:eastAsia="es-ES"/>
        </w:rPr>
      </w:pPr>
      <w:bookmarkStart w:id="6" w:name="40829"/>
      <w:bookmarkEnd w:id="6"/>
      <w:r>
        <w:rPr>
          <w:rFonts w:ascii="Arial" w:eastAsia="Times New Roman" w:hAnsi="Arial" w:cs="Arial"/>
          <w:b/>
          <w:bCs/>
          <w:noProof/>
          <w:color w:val="000000"/>
          <w:sz w:val="23"/>
          <w:szCs w:val="23"/>
          <w:lang w:eastAsia="es-ES"/>
        </w:rPr>
        <w:drawing>
          <wp:inline distT="0" distB="0" distL="0" distR="0">
            <wp:extent cx="123825" cy="95250"/>
            <wp:effectExtent l="0" t="0" r="0" b="0"/>
            <wp:docPr id="12" name="Imagen 12" descr="http://www.seg-social.es/prdi00/groups/public/documents/sistema/separador_miga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seg-social.es/prdi00/groups/public/documents/sistema/separador_migas.gif"/>
                    <pic:cNvPicPr>
                      <a:picLocks noChangeAspect="1" noChangeArrowheads="1"/>
                    </pic:cNvPicPr>
                  </pic:nvPicPr>
                  <pic:blipFill>
                    <a:blip r:embed="rId10" cstate="print"/>
                    <a:srcRect/>
                    <a:stretch>
                      <a:fillRect/>
                    </a:stretch>
                  </pic:blipFill>
                  <pic:spPr bwMode="auto">
                    <a:xfrm>
                      <a:off x="0" y="0"/>
                      <a:ext cx="123825" cy="95250"/>
                    </a:xfrm>
                    <a:prstGeom prst="rect">
                      <a:avLst/>
                    </a:prstGeom>
                    <a:noFill/>
                    <a:ln w="9525">
                      <a:noFill/>
                      <a:miter lim="800000"/>
                      <a:headEnd/>
                      <a:tailEnd/>
                    </a:ln>
                  </pic:spPr>
                </pic:pic>
              </a:graphicData>
            </a:graphic>
          </wp:inline>
        </w:drawing>
      </w:r>
      <w:r w:rsidRPr="00253CF8">
        <w:rPr>
          <w:rFonts w:ascii="Arial" w:eastAsia="Times New Roman" w:hAnsi="Arial" w:cs="Arial"/>
          <w:b/>
          <w:bCs/>
          <w:color w:val="000000"/>
          <w:sz w:val="23"/>
          <w:lang w:eastAsia="es-ES"/>
        </w:rPr>
        <w:t> </w:t>
      </w:r>
      <w:bookmarkStart w:id="7" w:name="Indemnización_a_tanto_alzado"/>
      <w:r w:rsidRPr="00253CF8">
        <w:rPr>
          <w:rFonts w:ascii="Arial" w:eastAsia="Times New Roman" w:hAnsi="Arial" w:cs="Arial"/>
          <w:b/>
          <w:bCs/>
          <w:color w:val="333333"/>
          <w:sz w:val="23"/>
          <w:szCs w:val="23"/>
          <w:lang w:eastAsia="es-ES"/>
        </w:rPr>
        <w:t xml:space="preserve">Indemnización </w:t>
      </w:r>
      <w:proofErr w:type="gramStart"/>
      <w:r w:rsidRPr="00253CF8">
        <w:rPr>
          <w:rFonts w:ascii="Arial" w:eastAsia="Times New Roman" w:hAnsi="Arial" w:cs="Arial"/>
          <w:b/>
          <w:bCs/>
          <w:color w:val="333333"/>
          <w:sz w:val="23"/>
          <w:szCs w:val="23"/>
          <w:lang w:eastAsia="es-ES"/>
        </w:rPr>
        <w:t>a</w:t>
      </w:r>
      <w:proofErr w:type="gramEnd"/>
      <w:r w:rsidRPr="00253CF8">
        <w:rPr>
          <w:rFonts w:ascii="Arial" w:eastAsia="Times New Roman" w:hAnsi="Arial" w:cs="Arial"/>
          <w:b/>
          <w:bCs/>
          <w:color w:val="333333"/>
          <w:sz w:val="23"/>
          <w:szCs w:val="23"/>
          <w:lang w:eastAsia="es-ES"/>
        </w:rPr>
        <w:t xml:space="preserve"> tanto alzado</w:t>
      </w:r>
      <w:bookmarkEnd w:id="7"/>
    </w:p>
    <w:p w:rsidR="00253CF8" w:rsidRPr="00253CF8" w:rsidRDefault="00253CF8" w:rsidP="00253CF8">
      <w:pPr>
        <w:spacing w:before="100" w:beforeAutospacing="1" w:after="100" w:afterAutospacing="1" w:line="240" w:lineRule="auto"/>
        <w:jc w:val="both"/>
        <w:rPr>
          <w:rFonts w:ascii="Arial" w:eastAsia="Times New Roman" w:hAnsi="Arial" w:cs="Arial"/>
          <w:color w:val="333333"/>
          <w:sz w:val="18"/>
          <w:szCs w:val="18"/>
          <w:lang w:eastAsia="es-ES"/>
        </w:rPr>
      </w:pPr>
      <w:r w:rsidRPr="00253CF8">
        <w:rPr>
          <w:rFonts w:ascii="Arial" w:eastAsia="Times New Roman" w:hAnsi="Arial" w:cs="Arial"/>
          <w:b/>
          <w:bCs/>
          <w:color w:val="333333"/>
          <w:sz w:val="18"/>
          <w:lang w:eastAsia="es-ES"/>
        </w:rPr>
        <w:t>Requisitos:</w:t>
      </w:r>
    </w:p>
    <w:p w:rsidR="00253CF8" w:rsidRPr="00253CF8" w:rsidRDefault="00253CF8" w:rsidP="00253CF8">
      <w:pPr>
        <w:numPr>
          <w:ilvl w:val="0"/>
          <w:numId w:val="9"/>
        </w:numPr>
        <w:spacing w:before="120" w:after="100" w:afterAutospacing="1" w:line="240" w:lineRule="auto"/>
        <w:ind w:left="144"/>
        <w:jc w:val="both"/>
        <w:rPr>
          <w:rFonts w:ascii="Arial" w:eastAsia="Times New Roman" w:hAnsi="Arial" w:cs="Arial"/>
          <w:color w:val="333333"/>
          <w:sz w:val="18"/>
          <w:szCs w:val="18"/>
          <w:lang w:eastAsia="es-ES"/>
        </w:rPr>
      </w:pPr>
      <w:r w:rsidRPr="00253CF8">
        <w:rPr>
          <w:rFonts w:ascii="Arial" w:eastAsia="Times New Roman" w:hAnsi="Arial" w:cs="Arial"/>
          <w:color w:val="333333"/>
          <w:sz w:val="18"/>
          <w:szCs w:val="18"/>
          <w:lang w:eastAsia="es-ES"/>
        </w:rPr>
        <w:t>Que se trate de un trabajador menor de 60 años.</w:t>
      </w:r>
    </w:p>
    <w:p w:rsidR="00253CF8" w:rsidRPr="00253CF8" w:rsidRDefault="00253CF8" w:rsidP="00253CF8">
      <w:pPr>
        <w:numPr>
          <w:ilvl w:val="0"/>
          <w:numId w:val="10"/>
        </w:numPr>
        <w:spacing w:before="120" w:after="100" w:afterAutospacing="1" w:line="240" w:lineRule="auto"/>
        <w:ind w:left="144"/>
        <w:jc w:val="both"/>
        <w:rPr>
          <w:rFonts w:ascii="Arial" w:eastAsia="Times New Roman" w:hAnsi="Arial" w:cs="Arial"/>
          <w:color w:val="333333"/>
          <w:sz w:val="18"/>
          <w:szCs w:val="18"/>
          <w:lang w:eastAsia="es-ES"/>
        </w:rPr>
      </w:pPr>
      <w:r w:rsidRPr="00253CF8">
        <w:rPr>
          <w:rFonts w:ascii="Arial" w:eastAsia="Times New Roman" w:hAnsi="Arial" w:cs="Arial"/>
          <w:color w:val="333333"/>
          <w:sz w:val="18"/>
          <w:szCs w:val="18"/>
          <w:lang w:eastAsia="es-ES"/>
        </w:rPr>
        <w:t>Que se presuma que las lesiones determinantes de la incapacidad no son susceptibles de modificación que den lugar en lo sucesivo a una revisión de la incapacidad declarada.</w:t>
      </w:r>
    </w:p>
    <w:p w:rsidR="00253CF8" w:rsidRPr="00253CF8" w:rsidRDefault="00253CF8" w:rsidP="00253CF8">
      <w:pPr>
        <w:numPr>
          <w:ilvl w:val="0"/>
          <w:numId w:val="11"/>
        </w:numPr>
        <w:spacing w:before="120" w:after="100" w:afterAutospacing="1" w:line="240" w:lineRule="auto"/>
        <w:ind w:left="144"/>
        <w:jc w:val="both"/>
        <w:rPr>
          <w:rFonts w:ascii="Arial" w:eastAsia="Times New Roman" w:hAnsi="Arial" w:cs="Arial"/>
          <w:color w:val="333333"/>
          <w:sz w:val="18"/>
          <w:szCs w:val="18"/>
          <w:lang w:eastAsia="es-ES"/>
        </w:rPr>
      </w:pPr>
      <w:r w:rsidRPr="00253CF8">
        <w:rPr>
          <w:rFonts w:ascii="Arial" w:eastAsia="Times New Roman" w:hAnsi="Arial" w:cs="Arial"/>
          <w:color w:val="333333"/>
          <w:sz w:val="18"/>
          <w:szCs w:val="18"/>
          <w:lang w:eastAsia="es-ES"/>
        </w:rPr>
        <w:t>Que el beneficiario realice trabajos por cuenta propia o por cuenta ajena, o se acredite que el importe de la indemnización se invertirá en la preparación o desarrollo de nuevas fuentes de ingreso como trabajador autónomo, siempre que se acredite tener aptitud suficiente para el ejercicio de la actividad de que se trate.</w:t>
      </w:r>
    </w:p>
    <w:p w:rsidR="00253CF8" w:rsidRPr="00253CF8" w:rsidRDefault="00253CF8" w:rsidP="00253CF8">
      <w:pPr>
        <w:numPr>
          <w:ilvl w:val="0"/>
          <w:numId w:val="12"/>
        </w:numPr>
        <w:spacing w:before="120" w:after="100" w:afterAutospacing="1" w:line="240" w:lineRule="auto"/>
        <w:ind w:left="144"/>
        <w:jc w:val="both"/>
        <w:rPr>
          <w:rFonts w:ascii="Arial" w:eastAsia="Times New Roman" w:hAnsi="Arial" w:cs="Arial"/>
          <w:color w:val="333333"/>
          <w:sz w:val="18"/>
          <w:szCs w:val="18"/>
          <w:lang w:eastAsia="es-ES"/>
        </w:rPr>
      </w:pPr>
      <w:r w:rsidRPr="00253CF8">
        <w:rPr>
          <w:rFonts w:ascii="Arial" w:eastAsia="Times New Roman" w:hAnsi="Arial" w:cs="Arial"/>
          <w:color w:val="333333"/>
          <w:sz w:val="18"/>
          <w:szCs w:val="18"/>
          <w:lang w:eastAsia="es-ES"/>
        </w:rPr>
        <w:t>Que se solicite dentro de los 3 años siguientes a la fecha de la resolución o sentencia firme que le reconozca el derecho a la pensión o, si fuese menor de 21 años de edad en dicha fecha, dentro de los 3 años siguientes al día en que cumpla dicha edad.</w:t>
      </w:r>
    </w:p>
    <w:p w:rsidR="00253CF8" w:rsidRPr="00253CF8" w:rsidRDefault="00253CF8" w:rsidP="00253CF8">
      <w:pPr>
        <w:spacing w:before="100" w:beforeAutospacing="1" w:after="100" w:afterAutospacing="1" w:line="240" w:lineRule="auto"/>
        <w:jc w:val="both"/>
        <w:rPr>
          <w:rFonts w:ascii="Arial" w:eastAsia="Times New Roman" w:hAnsi="Arial" w:cs="Arial"/>
          <w:color w:val="333333"/>
          <w:sz w:val="18"/>
          <w:szCs w:val="18"/>
          <w:lang w:eastAsia="es-ES"/>
        </w:rPr>
      </w:pPr>
      <w:r w:rsidRPr="00253CF8">
        <w:rPr>
          <w:rFonts w:ascii="Arial" w:eastAsia="Times New Roman" w:hAnsi="Arial" w:cs="Arial"/>
          <w:b/>
          <w:bCs/>
          <w:color w:val="333333"/>
          <w:sz w:val="18"/>
          <w:lang w:eastAsia="es-ES"/>
        </w:rPr>
        <w:t>Cuantía:</w:t>
      </w:r>
    </w:p>
    <w:p w:rsidR="00253CF8" w:rsidRPr="00253CF8" w:rsidRDefault="00253CF8" w:rsidP="00253CF8">
      <w:pPr>
        <w:numPr>
          <w:ilvl w:val="0"/>
          <w:numId w:val="13"/>
        </w:numPr>
        <w:spacing w:before="120" w:line="240" w:lineRule="auto"/>
        <w:ind w:left="120"/>
        <w:rPr>
          <w:rFonts w:ascii="Arial" w:eastAsia="Times New Roman" w:hAnsi="Arial" w:cs="Arial"/>
          <w:color w:val="333333"/>
          <w:sz w:val="18"/>
          <w:szCs w:val="18"/>
          <w:lang w:eastAsia="es-ES"/>
        </w:rPr>
      </w:pPr>
      <w:r w:rsidRPr="00253CF8">
        <w:rPr>
          <w:rFonts w:ascii="Arial" w:eastAsia="Times New Roman" w:hAnsi="Arial" w:cs="Arial"/>
          <w:color w:val="333333"/>
          <w:sz w:val="18"/>
          <w:szCs w:val="18"/>
          <w:lang w:eastAsia="es-ES"/>
        </w:rPr>
        <w:t>La cuantía alcanza un máximo de 84 mensualidades de la pensión con menos de 54 años de edad y un mínimo de 12 mensualidades a los 59 años, según la siguiente escala:</w:t>
      </w:r>
      <w:r w:rsidRPr="00253CF8">
        <w:rPr>
          <w:rFonts w:ascii="Arial" w:eastAsia="Times New Roman" w:hAnsi="Arial" w:cs="Arial"/>
          <w:color w:val="333333"/>
          <w:sz w:val="18"/>
          <w:lang w:eastAsia="es-ES"/>
        </w:rPr>
        <w:t> </w:t>
      </w:r>
    </w:p>
    <w:tbl>
      <w:tblPr>
        <w:tblW w:w="7980" w:type="dxa"/>
        <w:tblBorders>
          <w:top w:val="single" w:sz="6" w:space="0" w:color="CCCCCC"/>
          <w:left w:val="single" w:sz="6" w:space="0" w:color="CCCCCC"/>
          <w:bottom w:val="single" w:sz="6" w:space="0" w:color="CCCCCC"/>
          <w:right w:val="single" w:sz="6" w:space="0" w:color="CCCCCC"/>
        </w:tblBorders>
        <w:tblCellMar>
          <w:top w:w="15" w:type="dxa"/>
          <w:left w:w="15" w:type="dxa"/>
          <w:bottom w:w="15" w:type="dxa"/>
          <w:right w:w="15" w:type="dxa"/>
        </w:tblCellMar>
        <w:tblLook w:val="04A0"/>
      </w:tblPr>
      <w:tblGrid>
        <w:gridCol w:w="3197"/>
        <w:gridCol w:w="4783"/>
      </w:tblGrid>
      <w:tr w:rsidR="00253CF8" w:rsidRPr="00253CF8" w:rsidTr="00253CF8">
        <w:tc>
          <w:tcPr>
            <w:tcW w:w="0" w:type="auto"/>
            <w:tcBorders>
              <w:top w:val="single" w:sz="6" w:space="0" w:color="CCCCCC"/>
              <w:left w:val="single" w:sz="6" w:space="0" w:color="CCCCCC"/>
              <w:bottom w:val="single" w:sz="6" w:space="0" w:color="CCCCCC"/>
              <w:right w:val="single" w:sz="6" w:space="0" w:color="CCCCCC"/>
            </w:tcBorders>
            <w:shd w:val="clear" w:color="auto" w:fill="EEEEEE"/>
            <w:tcMar>
              <w:top w:w="30" w:type="dxa"/>
              <w:left w:w="90" w:type="dxa"/>
              <w:bottom w:w="45" w:type="dxa"/>
              <w:right w:w="15" w:type="dxa"/>
            </w:tcMar>
            <w:vAlign w:val="center"/>
            <w:hideMark/>
          </w:tcPr>
          <w:p w:rsidR="00253CF8" w:rsidRPr="00253CF8" w:rsidRDefault="00253CF8" w:rsidP="00253CF8">
            <w:pPr>
              <w:spacing w:after="0" w:line="240" w:lineRule="auto"/>
              <w:jc w:val="center"/>
              <w:rPr>
                <w:rFonts w:ascii="Verdana" w:eastAsia="Times New Roman" w:hAnsi="Verdana" w:cs="Times New Roman"/>
                <w:b/>
                <w:bCs/>
                <w:sz w:val="24"/>
                <w:szCs w:val="24"/>
                <w:lang w:eastAsia="es-ES"/>
              </w:rPr>
            </w:pPr>
            <w:r w:rsidRPr="00253CF8">
              <w:rPr>
                <w:rFonts w:ascii="Verdana" w:eastAsia="Times New Roman" w:hAnsi="Verdana" w:cs="Times New Roman"/>
                <w:b/>
                <w:bCs/>
                <w:sz w:val="24"/>
                <w:szCs w:val="24"/>
                <w:lang w:eastAsia="es-ES"/>
              </w:rPr>
              <w:t>Edad cumplida - Años</w:t>
            </w:r>
          </w:p>
        </w:tc>
        <w:tc>
          <w:tcPr>
            <w:tcW w:w="0" w:type="auto"/>
            <w:tcBorders>
              <w:top w:val="single" w:sz="6" w:space="0" w:color="CCCCCC"/>
              <w:left w:val="single" w:sz="6" w:space="0" w:color="CCCCCC"/>
              <w:bottom w:val="single" w:sz="6" w:space="0" w:color="CCCCCC"/>
              <w:right w:val="single" w:sz="6" w:space="0" w:color="CCCCCC"/>
            </w:tcBorders>
            <w:shd w:val="clear" w:color="auto" w:fill="EEEEEE"/>
            <w:tcMar>
              <w:top w:w="30" w:type="dxa"/>
              <w:left w:w="90" w:type="dxa"/>
              <w:bottom w:w="45" w:type="dxa"/>
              <w:right w:w="15" w:type="dxa"/>
            </w:tcMar>
            <w:vAlign w:val="center"/>
            <w:hideMark/>
          </w:tcPr>
          <w:p w:rsidR="00253CF8" w:rsidRPr="00253CF8" w:rsidRDefault="00253CF8" w:rsidP="00253CF8">
            <w:pPr>
              <w:spacing w:after="0" w:line="240" w:lineRule="auto"/>
              <w:jc w:val="center"/>
              <w:rPr>
                <w:rFonts w:ascii="Verdana" w:eastAsia="Times New Roman" w:hAnsi="Verdana" w:cs="Times New Roman"/>
                <w:b/>
                <w:bCs/>
                <w:sz w:val="24"/>
                <w:szCs w:val="24"/>
                <w:lang w:eastAsia="es-ES"/>
              </w:rPr>
            </w:pPr>
            <w:r w:rsidRPr="00253CF8">
              <w:rPr>
                <w:rFonts w:ascii="Verdana" w:eastAsia="Times New Roman" w:hAnsi="Verdana" w:cs="Times New Roman"/>
                <w:b/>
                <w:bCs/>
                <w:sz w:val="24"/>
                <w:szCs w:val="24"/>
                <w:lang w:eastAsia="es-ES"/>
              </w:rPr>
              <w:t>Nº de mensualidades de pensión</w:t>
            </w:r>
          </w:p>
        </w:tc>
      </w:tr>
      <w:tr w:rsidR="00253CF8" w:rsidRPr="00253CF8" w:rsidTr="00253CF8">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center"/>
            <w:hideMark/>
          </w:tcPr>
          <w:p w:rsidR="00253CF8" w:rsidRPr="00253CF8" w:rsidRDefault="00253CF8" w:rsidP="00253CF8">
            <w:pPr>
              <w:spacing w:before="30" w:after="0" w:line="240" w:lineRule="auto"/>
              <w:jc w:val="center"/>
              <w:rPr>
                <w:rFonts w:ascii="Times New Roman" w:eastAsia="Times New Roman" w:hAnsi="Times New Roman" w:cs="Times New Roman"/>
                <w:sz w:val="24"/>
                <w:szCs w:val="24"/>
                <w:lang w:eastAsia="es-ES"/>
              </w:rPr>
            </w:pPr>
            <w:r w:rsidRPr="00253CF8">
              <w:rPr>
                <w:rFonts w:ascii="Times New Roman" w:eastAsia="Times New Roman" w:hAnsi="Times New Roman" w:cs="Times New Roman"/>
                <w:sz w:val="24"/>
                <w:szCs w:val="24"/>
                <w:lang w:eastAsia="es-ES"/>
              </w:rPr>
              <w:t>Menor de 54 años</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center"/>
            <w:hideMark/>
          </w:tcPr>
          <w:p w:rsidR="00253CF8" w:rsidRPr="00253CF8" w:rsidRDefault="00253CF8" w:rsidP="00253CF8">
            <w:pPr>
              <w:spacing w:before="30" w:after="0" w:line="240" w:lineRule="auto"/>
              <w:jc w:val="center"/>
              <w:rPr>
                <w:rFonts w:ascii="Times New Roman" w:eastAsia="Times New Roman" w:hAnsi="Times New Roman" w:cs="Times New Roman"/>
                <w:sz w:val="24"/>
                <w:szCs w:val="24"/>
                <w:lang w:eastAsia="es-ES"/>
              </w:rPr>
            </w:pPr>
            <w:r w:rsidRPr="00253CF8">
              <w:rPr>
                <w:rFonts w:ascii="Times New Roman" w:eastAsia="Times New Roman" w:hAnsi="Times New Roman" w:cs="Times New Roman"/>
                <w:sz w:val="24"/>
                <w:szCs w:val="24"/>
                <w:lang w:eastAsia="es-ES"/>
              </w:rPr>
              <w:t>84</w:t>
            </w:r>
          </w:p>
        </w:tc>
      </w:tr>
      <w:tr w:rsidR="00253CF8" w:rsidRPr="00253CF8" w:rsidTr="00253CF8">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center"/>
            <w:hideMark/>
          </w:tcPr>
          <w:p w:rsidR="00253CF8" w:rsidRPr="00253CF8" w:rsidRDefault="00253CF8" w:rsidP="00253CF8">
            <w:pPr>
              <w:spacing w:before="30" w:after="0" w:line="240" w:lineRule="auto"/>
              <w:jc w:val="center"/>
              <w:rPr>
                <w:rFonts w:ascii="Times New Roman" w:eastAsia="Times New Roman" w:hAnsi="Times New Roman" w:cs="Times New Roman"/>
                <w:sz w:val="24"/>
                <w:szCs w:val="24"/>
                <w:lang w:eastAsia="es-ES"/>
              </w:rPr>
            </w:pPr>
            <w:r w:rsidRPr="00253CF8">
              <w:rPr>
                <w:rFonts w:ascii="Times New Roman" w:eastAsia="Times New Roman" w:hAnsi="Times New Roman" w:cs="Times New Roman"/>
                <w:sz w:val="24"/>
                <w:szCs w:val="24"/>
                <w:lang w:eastAsia="es-ES"/>
              </w:rPr>
              <w:t>54</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center"/>
            <w:hideMark/>
          </w:tcPr>
          <w:p w:rsidR="00253CF8" w:rsidRPr="00253CF8" w:rsidRDefault="00253CF8" w:rsidP="00253CF8">
            <w:pPr>
              <w:spacing w:before="30" w:after="0" w:line="240" w:lineRule="auto"/>
              <w:jc w:val="center"/>
              <w:rPr>
                <w:rFonts w:ascii="Times New Roman" w:eastAsia="Times New Roman" w:hAnsi="Times New Roman" w:cs="Times New Roman"/>
                <w:sz w:val="24"/>
                <w:szCs w:val="24"/>
                <w:lang w:eastAsia="es-ES"/>
              </w:rPr>
            </w:pPr>
            <w:r w:rsidRPr="00253CF8">
              <w:rPr>
                <w:rFonts w:ascii="Times New Roman" w:eastAsia="Times New Roman" w:hAnsi="Times New Roman" w:cs="Times New Roman"/>
                <w:sz w:val="24"/>
                <w:szCs w:val="24"/>
                <w:lang w:eastAsia="es-ES"/>
              </w:rPr>
              <w:t>72</w:t>
            </w:r>
          </w:p>
        </w:tc>
      </w:tr>
      <w:tr w:rsidR="00253CF8" w:rsidRPr="00253CF8" w:rsidTr="00253CF8">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center"/>
            <w:hideMark/>
          </w:tcPr>
          <w:p w:rsidR="00253CF8" w:rsidRPr="00253CF8" w:rsidRDefault="00253CF8" w:rsidP="00253CF8">
            <w:pPr>
              <w:spacing w:before="30" w:after="0" w:line="240" w:lineRule="auto"/>
              <w:jc w:val="center"/>
              <w:rPr>
                <w:rFonts w:ascii="Times New Roman" w:eastAsia="Times New Roman" w:hAnsi="Times New Roman" w:cs="Times New Roman"/>
                <w:sz w:val="24"/>
                <w:szCs w:val="24"/>
                <w:lang w:eastAsia="es-ES"/>
              </w:rPr>
            </w:pPr>
            <w:r w:rsidRPr="00253CF8">
              <w:rPr>
                <w:rFonts w:ascii="Times New Roman" w:eastAsia="Times New Roman" w:hAnsi="Times New Roman" w:cs="Times New Roman"/>
                <w:sz w:val="24"/>
                <w:szCs w:val="24"/>
                <w:lang w:eastAsia="es-ES"/>
              </w:rPr>
              <w:t>55</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center"/>
            <w:hideMark/>
          </w:tcPr>
          <w:p w:rsidR="00253CF8" w:rsidRPr="00253CF8" w:rsidRDefault="00253CF8" w:rsidP="00253CF8">
            <w:pPr>
              <w:spacing w:before="30" w:after="0" w:line="240" w:lineRule="auto"/>
              <w:jc w:val="center"/>
              <w:rPr>
                <w:rFonts w:ascii="Times New Roman" w:eastAsia="Times New Roman" w:hAnsi="Times New Roman" w:cs="Times New Roman"/>
                <w:sz w:val="24"/>
                <w:szCs w:val="24"/>
                <w:lang w:eastAsia="es-ES"/>
              </w:rPr>
            </w:pPr>
            <w:r w:rsidRPr="00253CF8">
              <w:rPr>
                <w:rFonts w:ascii="Times New Roman" w:eastAsia="Times New Roman" w:hAnsi="Times New Roman" w:cs="Times New Roman"/>
                <w:sz w:val="24"/>
                <w:szCs w:val="24"/>
                <w:lang w:eastAsia="es-ES"/>
              </w:rPr>
              <w:t>60</w:t>
            </w:r>
          </w:p>
        </w:tc>
      </w:tr>
      <w:tr w:rsidR="00253CF8" w:rsidRPr="00253CF8" w:rsidTr="00253CF8">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center"/>
            <w:hideMark/>
          </w:tcPr>
          <w:p w:rsidR="00253CF8" w:rsidRPr="00253CF8" w:rsidRDefault="00253CF8" w:rsidP="00253CF8">
            <w:pPr>
              <w:spacing w:before="30" w:after="0" w:line="240" w:lineRule="auto"/>
              <w:jc w:val="center"/>
              <w:rPr>
                <w:rFonts w:ascii="Times New Roman" w:eastAsia="Times New Roman" w:hAnsi="Times New Roman" w:cs="Times New Roman"/>
                <w:sz w:val="24"/>
                <w:szCs w:val="24"/>
                <w:lang w:eastAsia="es-ES"/>
              </w:rPr>
            </w:pPr>
            <w:r w:rsidRPr="00253CF8">
              <w:rPr>
                <w:rFonts w:ascii="Times New Roman" w:eastAsia="Times New Roman" w:hAnsi="Times New Roman" w:cs="Times New Roman"/>
                <w:sz w:val="24"/>
                <w:szCs w:val="24"/>
                <w:lang w:eastAsia="es-ES"/>
              </w:rPr>
              <w:t>56</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center"/>
            <w:hideMark/>
          </w:tcPr>
          <w:p w:rsidR="00253CF8" w:rsidRPr="00253CF8" w:rsidRDefault="00253CF8" w:rsidP="00253CF8">
            <w:pPr>
              <w:spacing w:before="30" w:after="0" w:line="240" w:lineRule="auto"/>
              <w:jc w:val="center"/>
              <w:rPr>
                <w:rFonts w:ascii="Times New Roman" w:eastAsia="Times New Roman" w:hAnsi="Times New Roman" w:cs="Times New Roman"/>
                <w:sz w:val="24"/>
                <w:szCs w:val="24"/>
                <w:lang w:eastAsia="es-ES"/>
              </w:rPr>
            </w:pPr>
            <w:r w:rsidRPr="00253CF8">
              <w:rPr>
                <w:rFonts w:ascii="Times New Roman" w:eastAsia="Times New Roman" w:hAnsi="Times New Roman" w:cs="Times New Roman"/>
                <w:sz w:val="24"/>
                <w:szCs w:val="24"/>
                <w:lang w:eastAsia="es-ES"/>
              </w:rPr>
              <w:t>48</w:t>
            </w:r>
          </w:p>
        </w:tc>
      </w:tr>
      <w:tr w:rsidR="00253CF8" w:rsidRPr="00253CF8" w:rsidTr="00253CF8">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center"/>
            <w:hideMark/>
          </w:tcPr>
          <w:p w:rsidR="00253CF8" w:rsidRPr="00253CF8" w:rsidRDefault="00253CF8" w:rsidP="00253CF8">
            <w:pPr>
              <w:spacing w:before="30" w:after="0" w:line="240" w:lineRule="auto"/>
              <w:jc w:val="center"/>
              <w:rPr>
                <w:rFonts w:ascii="Times New Roman" w:eastAsia="Times New Roman" w:hAnsi="Times New Roman" w:cs="Times New Roman"/>
                <w:sz w:val="24"/>
                <w:szCs w:val="24"/>
                <w:lang w:eastAsia="es-ES"/>
              </w:rPr>
            </w:pPr>
            <w:r w:rsidRPr="00253CF8">
              <w:rPr>
                <w:rFonts w:ascii="Times New Roman" w:eastAsia="Times New Roman" w:hAnsi="Times New Roman" w:cs="Times New Roman"/>
                <w:sz w:val="24"/>
                <w:szCs w:val="24"/>
                <w:lang w:eastAsia="es-ES"/>
              </w:rPr>
              <w:t>57</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center"/>
            <w:hideMark/>
          </w:tcPr>
          <w:p w:rsidR="00253CF8" w:rsidRPr="00253CF8" w:rsidRDefault="00253CF8" w:rsidP="00253CF8">
            <w:pPr>
              <w:spacing w:before="30" w:after="0" w:line="240" w:lineRule="auto"/>
              <w:jc w:val="center"/>
              <w:rPr>
                <w:rFonts w:ascii="Times New Roman" w:eastAsia="Times New Roman" w:hAnsi="Times New Roman" w:cs="Times New Roman"/>
                <w:sz w:val="24"/>
                <w:szCs w:val="24"/>
                <w:lang w:eastAsia="es-ES"/>
              </w:rPr>
            </w:pPr>
            <w:r w:rsidRPr="00253CF8">
              <w:rPr>
                <w:rFonts w:ascii="Times New Roman" w:eastAsia="Times New Roman" w:hAnsi="Times New Roman" w:cs="Times New Roman"/>
                <w:sz w:val="24"/>
                <w:szCs w:val="24"/>
                <w:lang w:eastAsia="es-ES"/>
              </w:rPr>
              <w:t>36</w:t>
            </w:r>
          </w:p>
        </w:tc>
      </w:tr>
      <w:tr w:rsidR="00253CF8" w:rsidRPr="00253CF8" w:rsidTr="00253CF8">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center"/>
            <w:hideMark/>
          </w:tcPr>
          <w:p w:rsidR="00253CF8" w:rsidRPr="00253CF8" w:rsidRDefault="00253CF8" w:rsidP="00253CF8">
            <w:pPr>
              <w:spacing w:before="30" w:after="0" w:line="240" w:lineRule="auto"/>
              <w:jc w:val="center"/>
              <w:rPr>
                <w:rFonts w:ascii="Times New Roman" w:eastAsia="Times New Roman" w:hAnsi="Times New Roman" w:cs="Times New Roman"/>
                <w:sz w:val="24"/>
                <w:szCs w:val="24"/>
                <w:lang w:eastAsia="es-ES"/>
              </w:rPr>
            </w:pPr>
            <w:r w:rsidRPr="00253CF8">
              <w:rPr>
                <w:rFonts w:ascii="Times New Roman" w:eastAsia="Times New Roman" w:hAnsi="Times New Roman" w:cs="Times New Roman"/>
                <w:sz w:val="24"/>
                <w:szCs w:val="24"/>
                <w:lang w:eastAsia="es-ES"/>
              </w:rPr>
              <w:t>58</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center"/>
            <w:hideMark/>
          </w:tcPr>
          <w:p w:rsidR="00253CF8" w:rsidRPr="00253CF8" w:rsidRDefault="00253CF8" w:rsidP="00253CF8">
            <w:pPr>
              <w:spacing w:before="30" w:after="0" w:line="240" w:lineRule="auto"/>
              <w:jc w:val="center"/>
              <w:rPr>
                <w:rFonts w:ascii="Times New Roman" w:eastAsia="Times New Roman" w:hAnsi="Times New Roman" w:cs="Times New Roman"/>
                <w:sz w:val="24"/>
                <w:szCs w:val="24"/>
                <w:lang w:eastAsia="es-ES"/>
              </w:rPr>
            </w:pPr>
            <w:r w:rsidRPr="00253CF8">
              <w:rPr>
                <w:rFonts w:ascii="Times New Roman" w:eastAsia="Times New Roman" w:hAnsi="Times New Roman" w:cs="Times New Roman"/>
                <w:sz w:val="24"/>
                <w:szCs w:val="24"/>
                <w:lang w:eastAsia="es-ES"/>
              </w:rPr>
              <w:t>24</w:t>
            </w:r>
          </w:p>
        </w:tc>
      </w:tr>
      <w:tr w:rsidR="00253CF8" w:rsidRPr="00253CF8" w:rsidTr="00253CF8">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center"/>
            <w:hideMark/>
          </w:tcPr>
          <w:p w:rsidR="00253CF8" w:rsidRPr="00253CF8" w:rsidRDefault="00253CF8" w:rsidP="00253CF8">
            <w:pPr>
              <w:spacing w:before="30" w:after="0" w:line="240" w:lineRule="auto"/>
              <w:jc w:val="center"/>
              <w:rPr>
                <w:rFonts w:ascii="Times New Roman" w:eastAsia="Times New Roman" w:hAnsi="Times New Roman" w:cs="Times New Roman"/>
                <w:sz w:val="24"/>
                <w:szCs w:val="24"/>
                <w:lang w:eastAsia="es-ES"/>
              </w:rPr>
            </w:pPr>
            <w:r w:rsidRPr="00253CF8">
              <w:rPr>
                <w:rFonts w:ascii="Times New Roman" w:eastAsia="Times New Roman" w:hAnsi="Times New Roman" w:cs="Times New Roman"/>
                <w:sz w:val="24"/>
                <w:szCs w:val="24"/>
                <w:lang w:eastAsia="es-ES"/>
              </w:rPr>
              <w:t>59</w:t>
            </w:r>
          </w:p>
        </w:tc>
        <w:tc>
          <w:tcPr>
            <w:tcW w:w="0" w:type="auto"/>
            <w:tcBorders>
              <w:top w:val="single" w:sz="6" w:space="0" w:color="CCCCCC"/>
              <w:left w:val="single" w:sz="6" w:space="0" w:color="CCCCCC"/>
              <w:bottom w:val="single" w:sz="6" w:space="0" w:color="CCCCCC"/>
              <w:right w:val="single" w:sz="6" w:space="0" w:color="CCCCCC"/>
            </w:tcBorders>
            <w:tcMar>
              <w:top w:w="30" w:type="dxa"/>
              <w:left w:w="0" w:type="dxa"/>
              <w:bottom w:w="30" w:type="dxa"/>
              <w:right w:w="0" w:type="dxa"/>
            </w:tcMar>
            <w:vAlign w:val="center"/>
            <w:hideMark/>
          </w:tcPr>
          <w:p w:rsidR="00253CF8" w:rsidRPr="00253CF8" w:rsidRDefault="00253CF8" w:rsidP="00253CF8">
            <w:pPr>
              <w:spacing w:before="30" w:after="0" w:line="240" w:lineRule="auto"/>
              <w:jc w:val="center"/>
              <w:rPr>
                <w:rFonts w:ascii="Times New Roman" w:eastAsia="Times New Roman" w:hAnsi="Times New Roman" w:cs="Times New Roman"/>
                <w:sz w:val="24"/>
                <w:szCs w:val="24"/>
                <w:lang w:eastAsia="es-ES"/>
              </w:rPr>
            </w:pPr>
            <w:r w:rsidRPr="00253CF8">
              <w:rPr>
                <w:rFonts w:ascii="Times New Roman" w:eastAsia="Times New Roman" w:hAnsi="Times New Roman" w:cs="Times New Roman"/>
                <w:sz w:val="24"/>
                <w:szCs w:val="24"/>
                <w:lang w:eastAsia="es-ES"/>
              </w:rPr>
              <w:t>12</w:t>
            </w:r>
          </w:p>
        </w:tc>
      </w:tr>
    </w:tbl>
    <w:p w:rsidR="00253CF8" w:rsidRPr="00253CF8" w:rsidRDefault="00253CF8" w:rsidP="00253CF8">
      <w:pPr>
        <w:spacing w:before="100" w:beforeAutospacing="1" w:after="100" w:afterAutospacing="1" w:line="240" w:lineRule="auto"/>
        <w:rPr>
          <w:rFonts w:ascii="Arial" w:eastAsia="Times New Roman" w:hAnsi="Arial" w:cs="Arial"/>
          <w:color w:val="333333"/>
          <w:sz w:val="18"/>
          <w:szCs w:val="18"/>
          <w:lang w:eastAsia="es-ES"/>
        </w:rPr>
      </w:pPr>
    </w:p>
    <w:p w:rsidR="00253CF8" w:rsidRPr="00253CF8" w:rsidRDefault="00253CF8" w:rsidP="00253CF8">
      <w:pPr>
        <w:numPr>
          <w:ilvl w:val="0"/>
          <w:numId w:val="14"/>
        </w:numPr>
        <w:spacing w:before="120" w:after="100" w:afterAutospacing="1" w:line="240" w:lineRule="auto"/>
        <w:ind w:left="120"/>
        <w:jc w:val="both"/>
        <w:rPr>
          <w:rFonts w:ascii="Arial" w:eastAsia="Times New Roman" w:hAnsi="Arial" w:cs="Arial"/>
          <w:color w:val="333333"/>
          <w:sz w:val="18"/>
          <w:szCs w:val="18"/>
          <w:lang w:eastAsia="es-ES"/>
        </w:rPr>
      </w:pPr>
      <w:r w:rsidRPr="00253CF8">
        <w:rPr>
          <w:rFonts w:ascii="Arial" w:eastAsia="Times New Roman" w:hAnsi="Arial" w:cs="Arial"/>
          <w:color w:val="333333"/>
          <w:sz w:val="18"/>
          <w:szCs w:val="18"/>
          <w:lang w:eastAsia="es-ES"/>
        </w:rPr>
        <w:t>La resolución debe ser dictada por la Dirección General del INSS.</w:t>
      </w:r>
    </w:p>
    <w:p w:rsidR="00253CF8" w:rsidRPr="00253CF8" w:rsidRDefault="00253CF8" w:rsidP="00253CF8">
      <w:pPr>
        <w:numPr>
          <w:ilvl w:val="0"/>
          <w:numId w:val="14"/>
        </w:numPr>
        <w:spacing w:before="120" w:after="100" w:afterAutospacing="1" w:line="240" w:lineRule="auto"/>
        <w:ind w:left="120"/>
        <w:jc w:val="both"/>
        <w:rPr>
          <w:rFonts w:ascii="Arial" w:eastAsia="Times New Roman" w:hAnsi="Arial" w:cs="Arial"/>
          <w:color w:val="333333"/>
          <w:sz w:val="18"/>
          <w:szCs w:val="18"/>
          <w:lang w:eastAsia="es-ES"/>
        </w:rPr>
      </w:pPr>
      <w:r w:rsidRPr="00253CF8">
        <w:rPr>
          <w:rFonts w:ascii="Arial" w:eastAsia="Times New Roman" w:hAnsi="Arial" w:cs="Arial"/>
          <w:color w:val="333333"/>
          <w:sz w:val="18"/>
          <w:szCs w:val="18"/>
          <w:lang w:eastAsia="es-ES"/>
        </w:rPr>
        <w:t>La indemnización se hará efectiva a partir de la citada resolución.</w:t>
      </w:r>
    </w:p>
    <w:p w:rsidR="00253CF8" w:rsidRPr="00253CF8" w:rsidRDefault="00253CF8" w:rsidP="00253CF8">
      <w:pPr>
        <w:numPr>
          <w:ilvl w:val="0"/>
          <w:numId w:val="14"/>
        </w:numPr>
        <w:spacing w:before="120" w:after="100" w:afterAutospacing="1" w:line="240" w:lineRule="auto"/>
        <w:ind w:left="120"/>
        <w:jc w:val="both"/>
        <w:rPr>
          <w:rFonts w:ascii="Arial" w:eastAsia="Times New Roman" w:hAnsi="Arial" w:cs="Arial"/>
          <w:color w:val="333333"/>
          <w:sz w:val="18"/>
          <w:szCs w:val="18"/>
          <w:lang w:eastAsia="es-ES"/>
        </w:rPr>
      </w:pPr>
      <w:r w:rsidRPr="00253CF8">
        <w:rPr>
          <w:rFonts w:ascii="Arial" w:eastAsia="Times New Roman" w:hAnsi="Arial" w:cs="Arial"/>
          <w:color w:val="333333"/>
          <w:sz w:val="18"/>
          <w:szCs w:val="18"/>
          <w:lang w:eastAsia="es-ES"/>
        </w:rPr>
        <w:t>Una vez autorizada la sustitución, el beneficiario no podrá solicitar que se deje sin efecto la misma para recuperar la condición de pensionista hasta que cumpla los 60 años.</w:t>
      </w:r>
    </w:p>
    <w:p w:rsidR="00253CF8" w:rsidRPr="00253CF8" w:rsidRDefault="00253CF8" w:rsidP="00253CF8">
      <w:pPr>
        <w:numPr>
          <w:ilvl w:val="0"/>
          <w:numId w:val="14"/>
        </w:numPr>
        <w:spacing w:before="120" w:after="100" w:afterAutospacing="1" w:line="240" w:lineRule="auto"/>
        <w:ind w:left="120"/>
        <w:jc w:val="both"/>
        <w:rPr>
          <w:rFonts w:ascii="Arial" w:eastAsia="Times New Roman" w:hAnsi="Arial" w:cs="Arial"/>
          <w:color w:val="333333"/>
          <w:sz w:val="18"/>
          <w:szCs w:val="18"/>
          <w:lang w:eastAsia="es-ES"/>
        </w:rPr>
      </w:pPr>
      <w:r w:rsidRPr="00253CF8">
        <w:rPr>
          <w:rFonts w:ascii="Arial" w:eastAsia="Times New Roman" w:hAnsi="Arial" w:cs="Arial"/>
          <w:color w:val="333333"/>
          <w:sz w:val="18"/>
          <w:szCs w:val="18"/>
          <w:lang w:eastAsia="es-ES"/>
        </w:rPr>
        <w:t xml:space="preserve">Al cumplir los 60 años, el beneficiario pasará a percibir la pensión reconocida inicialmente, incrementada con las correspondientes revalorizaciones que hubieran tenido lugar desde la fecha en que se autorizó la sustitución por la </w:t>
      </w:r>
      <w:proofErr w:type="spellStart"/>
      <w:r w:rsidRPr="00253CF8">
        <w:rPr>
          <w:rFonts w:ascii="Arial" w:eastAsia="Times New Roman" w:hAnsi="Arial" w:cs="Arial"/>
          <w:color w:val="333333"/>
          <w:sz w:val="18"/>
          <w:szCs w:val="18"/>
          <w:lang w:eastAsia="es-ES"/>
        </w:rPr>
        <w:t>indeminización</w:t>
      </w:r>
      <w:proofErr w:type="spellEnd"/>
      <w:r w:rsidRPr="00253CF8">
        <w:rPr>
          <w:rFonts w:ascii="Arial" w:eastAsia="Times New Roman" w:hAnsi="Arial" w:cs="Arial"/>
          <w:color w:val="333333"/>
          <w:sz w:val="18"/>
          <w:szCs w:val="18"/>
          <w:lang w:eastAsia="es-ES"/>
        </w:rPr>
        <w:t>.</w:t>
      </w:r>
    </w:p>
    <w:p w:rsidR="00253CF8" w:rsidRPr="00253CF8" w:rsidRDefault="00253CF8" w:rsidP="00253CF8">
      <w:pPr>
        <w:numPr>
          <w:ilvl w:val="0"/>
          <w:numId w:val="14"/>
        </w:numPr>
        <w:spacing w:before="120" w:after="100" w:afterAutospacing="1" w:line="240" w:lineRule="auto"/>
        <w:ind w:left="120"/>
        <w:jc w:val="both"/>
        <w:rPr>
          <w:rFonts w:ascii="Arial" w:eastAsia="Times New Roman" w:hAnsi="Arial" w:cs="Arial"/>
          <w:color w:val="333333"/>
          <w:sz w:val="18"/>
          <w:szCs w:val="18"/>
          <w:lang w:eastAsia="es-ES"/>
        </w:rPr>
      </w:pPr>
      <w:r w:rsidRPr="00253CF8">
        <w:rPr>
          <w:rFonts w:ascii="Arial" w:eastAsia="Times New Roman" w:hAnsi="Arial" w:cs="Arial"/>
          <w:color w:val="333333"/>
          <w:sz w:val="18"/>
          <w:szCs w:val="18"/>
          <w:lang w:eastAsia="es-ES"/>
        </w:rPr>
        <w:t>Si el beneficiario fallece antes de cumplir los 60 años de edad, causará derecho a las prestaciones de muerte y supervivencia como si hubiera sido pensionista en tal momento.</w:t>
      </w:r>
    </w:p>
    <w:p w:rsidR="00253CF8" w:rsidRPr="00253CF8" w:rsidRDefault="00253CF8" w:rsidP="00253CF8">
      <w:pPr>
        <w:shd w:val="clear" w:color="auto" w:fill="EEEEEE"/>
        <w:spacing w:after="120" w:line="240" w:lineRule="auto"/>
        <w:textAlignment w:val="center"/>
        <w:outlineLvl w:val="2"/>
        <w:rPr>
          <w:rFonts w:ascii="Arial" w:eastAsia="Times New Roman" w:hAnsi="Arial" w:cs="Arial"/>
          <w:b/>
          <w:bCs/>
          <w:color w:val="000000"/>
          <w:sz w:val="23"/>
          <w:szCs w:val="23"/>
          <w:lang w:eastAsia="es-ES"/>
        </w:rPr>
      </w:pPr>
      <w:bookmarkStart w:id="8" w:name="28727"/>
      <w:bookmarkEnd w:id="8"/>
      <w:r>
        <w:rPr>
          <w:rFonts w:ascii="Arial" w:eastAsia="Times New Roman" w:hAnsi="Arial" w:cs="Arial"/>
          <w:b/>
          <w:bCs/>
          <w:noProof/>
          <w:color w:val="000000"/>
          <w:sz w:val="23"/>
          <w:szCs w:val="23"/>
          <w:lang w:eastAsia="es-ES"/>
        </w:rPr>
        <w:drawing>
          <wp:inline distT="0" distB="0" distL="0" distR="0">
            <wp:extent cx="123825" cy="95250"/>
            <wp:effectExtent l="0" t="0" r="0" b="0"/>
            <wp:docPr id="15" name="Imagen 15" descr="http://www.seg-social.es/prdi00/groups/public/documents/sistema/separador_miga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seg-social.es/prdi00/groups/public/documents/sistema/separador_migas.gif"/>
                    <pic:cNvPicPr>
                      <a:picLocks noChangeAspect="1" noChangeArrowheads="1"/>
                    </pic:cNvPicPr>
                  </pic:nvPicPr>
                  <pic:blipFill>
                    <a:blip r:embed="rId10" cstate="print"/>
                    <a:srcRect/>
                    <a:stretch>
                      <a:fillRect/>
                    </a:stretch>
                  </pic:blipFill>
                  <pic:spPr bwMode="auto">
                    <a:xfrm>
                      <a:off x="0" y="0"/>
                      <a:ext cx="123825" cy="95250"/>
                    </a:xfrm>
                    <a:prstGeom prst="rect">
                      <a:avLst/>
                    </a:prstGeom>
                    <a:noFill/>
                    <a:ln w="9525">
                      <a:noFill/>
                      <a:miter lim="800000"/>
                      <a:headEnd/>
                      <a:tailEnd/>
                    </a:ln>
                  </pic:spPr>
                </pic:pic>
              </a:graphicData>
            </a:graphic>
          </wp:inline>
        </w:drawing>
      </w:r>
      <w:r w:rsidRPr="00253CF8">
        <w:rPr>
          <w:rFonts w:ascii="Arial" w:eastAsia="Times New Roman" w:hAnsi="Arial" w:cs="Arial"/>
          <w:b/>
          <w:bCs/>
          <w:color w:val="000000"/>
          <w:sz w:val="23"/>
          <w:lang w:eastAsia="es-ES"/>
        </w:rPr>
        <w:t> </w:t>
      </w:r>
      <w:bookmarkStart w:id="9" w:name="Abono"/>
      <w:r w:rsidRPr="00253CF8">
        <w:rPr>
          <w:rFonts w:ascii="Arial" w:eastAsia="Times New Roman" w:hAnsi="Arial" w:cs="Arial"/>
          <w:b/>
          <w:bCs/>
          <w:color w:val="333333"/>
          <w:sz w:val="23"/>
          <w:szCs w:val="23"/>
          <w:lang w:eastAsia="es-ES"/>
        </w:rPr>
        <w:t>Abono</w:t>
      </w:r>
      <w:bookmarkEnd w:id="9"/>
    </w:p>
    <w:p w:rsidR="00253CF8" w:rsidRPr="00253CF8" w:rsidRDefault="00253CF8" w:rsidP="00253CF8">
      <w:pPr>
        <w:numPr>
          <w:ilvl w:val="0"/>
          <w:numId w:val="15"/>
        </w:numPr>
        <w:spacing w:before="120" w:after="100" w:afterAutospacing="1" w:line="240" w:lineRule="auto"/>
        <w:ind w:left="120"/>
        <w:jc w:val="both"/>
        <w:rPr>
          <w:rFonts w:ascii="Arial" w:eastAsia="Times New Roman" w:hAnsi="Arial" w:cs="Arial"/>
          <w:color w:val="333333"/>
          <w:sz w:val="18"/>
          <w:szCs w:val="18"/>
          <w:lang w:eastAsia="es-ES"/>
        </w:rPr>
      </w:pPr>
      <w:r w:rsidRPr="00253CF8">
        <w:rPr>
          <w:rFonts w:ascii="Arial" w:eastAsia="Times New Roman" w:hAnsi="Arial" w:cs="Arial"/>
          <w:i/>
          <w:iCs/>
          <w:color w:val="333333"/>
          <w:sz w:val="18"/>
          <w:lang w:eastAsia="es-ES"/>
        </w:rPr>
        <w:t>Las pensiones derivadas de enfermedad común y accidente no laboral</w:t>
      </w:r>
      <w:r w:rsidRPr="00253CF8">
        <w:rPr>
          <w:rFonts w:ascii="Arial" w:eastAsia="Times New Roman" w:hAnsi="Arial" w:cs="Arial"/>
          <w:color w:val="333333"/>
          <w:sz w:val="18"/>
          <w:lang w:eastAsia="es-ES"/>
        </w:rPr>
        <w:t> </w:t>
      </w:r>
      <w:r w:rsidRPr="00253CF8">
        <w:rPr>
          <w:rFonts w:ascii="Arial" w:eastAsia="Times New Roman" w:hAnsi="Arial" w:cs="Arial"/>
          <w:color w:val="333333"/>
          <w:sz w:val="18"/>
          <w:szCs w:val="18"/>
          <w:lang w:eastAsia="es-ES"/>
        </w:rPr>
        <w:t xml:space="preserve">se abonan en 14 pagas, una por cada uno de los meses del año y dos pagas extraordinarias al año, que se hacen efectivas junto con las </w:t>
      </w:r>
      <w:r w:rsidRPr="00253CF8">
        <w:rPr>
          <w:rFonts w:ascii="Arial" w:eastAsia="Times New Roman" w:hAnsi="Arial" w:cs="Arial"/>
          <w:color w:val="333333"/>
          <w:sz w:val="18"/>
          <w:szCs w:val="18"/>
          <w:lang w:eastAsia="es-ES"/>
        </w:rPr>
        <w:lastRenderedPageBreak/>
        <w:t>mensualidades de junio y noviembre y por el mismo importe que el de la mensualidad ordinaria correspondiente a dichos meses.</w:t>
      </w:r>
    </w:p>
    <w:p w:rsidR="00253CF8" w:rsidRPr="00253CF8" w:rsidRDefault="00253CF8" w:rsidP="00253CF8">
      <w:pPr>
        <w:numPr>
          <w:ilvl w:val="0"/>
          <w:numId w:val="16"/>
        </w:numPr>
        <w:spacing w:before="120" w:after="100" w:afterAutospacing="1" w:line="240" w:lineRule="auto"/>
        <w:ind w:left="120"/>
        <w:jc w:val="both"/>
        <w:rPr>
          <w:rFonts w:ascii="Arial" w:eastAsia="Times New Roman" w:hAnsi="Arial" w:cs="Arial"/>
          <w:color w:val="333333"/>
          <w:sz w:val="18"/>
          <w:szCs w:val="18"/>
          <w:lang w:eastAsia="es-ES"/>
        </w:rPr>
      </w:pPr>
      <w:r w:rsidRPr="00253CF8">
        <w:rPr>
          <w:rFonts w:ascii="Arial" w:eastAsia="Times New Roman" w:hAnsi="Arial" w:cs="Arial"/>
          <w:i/>
          <w:iCs/>
          <w:color w:val="333333"/>
          <w:sz w:val="18"/>
          <w:lang w:eastAsia="es-ES"/>
        </w:rPr>
        <w:t>Las pensiones derivadas de accidente de trabajo y enfermedad profesional</w:t>
      </w:r>
      <w:r w:rsidRPr="00253CF8">
        <w:rPr>
          <w:rFonts w:ascii="Arial" w:eastAsia="Times New Roman" w:hAnsi="Arial" w:cs="Arial"/>
          <w:color w:val="333333"/>
          <w:sz w:val="18"/>
          <w:lang w:eastAsia="es-ES"/>
        </w:rPr>
        <w:t> </w:t>
      </w:r>
      <w:r w:rsidRPr="00253CF8">
        <w:rPr>
          <w:rFonts w:ascii="Arial" w:eastAsia="Times New Roman" w:hAnsi="Arial" w:cs="Arial"/>
          <w:color w:val="333333"/>
          <w:sz w:val="18"/>
          <w:szCs w:val="18"/>
          <w:lang w:eastAsia="es-ES"/>
        </w:rPr>
        <w:t>se abonan en 12 mensualidades, ya que las pagas extraordinarias están prorrateadas dentro de las mensualidades ordinarias, al haber sido tenidas en cuenta para el cálculo de la base reguladora de la pensión.</w:t>
      </w:r>
    </w:p>
    <w:p w:rsidR="00253CF8" w:rsidRPr="00253CF8" w:rsidRDefault="00253CF8" w:rsidP="00253CF8">
      <w:pPr>
        <w:numPr>
          <w:ilvl w:val="0"/>
          <w:numId w:val="17"/>
        </w:numPr>
        <w:spacing w:before="120" w:after="100" w:afterAutospacing="1" w:line="240" w:lineRule="auto"/>
        <w:ind w:left="120"/>
        <w:jc w:val="both"/>
        <w:rPr>
          <w:rFonts w:ascii="Arial" w:eastAsia="Times New Roman" w:hAnsi="Arial" w:cs="Arial"/>
          <w:color w:val="333333"/>
          <w:sz w:val="18"/>
          <w:szCs w:val="18"/>
          <w:lang w:eastAsia="es-ES"/>
        </w:rPr>
      </w:pPr>
      <w:r w:rsidRPr="00253CF8">
        <w:rPr>
          <w:rFonts w:ascii="Arial" w:eastAsia="Times New Roman" w:hAnsi="Arial" w:cs="Arial"/>
          <w:color w:val="333333"/>
          <w:sz w:val="18"/>
          <w:szCs w:val="18"/>
          <w:lang w:eastAsia="es-ES"/>
        </w:rPr>
        <w:t>Cuando se trate de indemnizaciones, el pago se realiza de una sola vez en la cuantía que corresponda.</w:t>
      </w:r>
    </w:p>
    <w:p w:rsidR="00253CF8" w:rsidRPr="00253CF8" w:rsidRDefault="00253CF8" w:rsidP="00253CF8">
      <w:pPr>
        <w:numPr>
          <w:ilvl w:val="0"/>
          <w:numId w:val="18"/>
        </w:numPr>
        <w:spacing w:before="120" w:after="100" w:afterAutospacing="1" w:line="240" w:lineRule="auto"/>
        <w:ind w:left="120"/>
        <w:jc w:val="both"/>
        <w:rPr>
          <w:rFonts w:ascii="Arial" w:eastAsia="Times New Roman" w:hAnsi="Arial" w:cs="Arial"/>
          <w:color w:val="333333"/>
          <w:sz w:val="18"/>
          <w:szCs w:val="18"/>
          <w:lang w:eastAsia="es-ES"/>
        </w:rPr>
      </w:pPr>
      <w:r w:rsidRPr="00253CF8">
        <w:rPr>
          <w:rFonts w:ascii="Arial" w:eastAsia="Times New Roman" w:hAnsi="Arial" w:cs="Arial"/>
          <w:i/>
          <w:iCs/>
          <w:color w:val="333333"/>
          <w:sz w:val="18"/>
          <w:lang w:eastAsia="es-ES"/>
        </w:rPr>
        <w:t>Se garantizan </w:t>
      </w:r>
      <w:hyperlink r:id="rId14" w:anchor="30437" w:history="1">
        <w:r w:rsidRPr="00253CF8">
          <w:rPr>
            <w:rFonts w:ascii="Arial" w:eastAsia="Times New Roman" w:hAnsi="Arial" w:cs="Arial"/>
            <w:i/>
            <w:iCs/>
            <w:color w:val="646F93"/>
            <w:sz w:val="18"/>
            <w:u w:val="single"/>
            <w:lang w:eastAsia="es-ES"/>
          </w:rPr>
          <w:t>cuantías mínimas</w:t>
        </w:r>
      </w:hyperlink>
      <w:r w:rsidRPr="00253CF8">
        <w:rPr>
          <w:rFonts w:ascii="Arial" w:eastAsia="Times New Roman" w:hAnsi="Arial" w:cs="Arial"/>
          <w:color w:val="333333"/>
          <w:sz w:val="18"/>
          <w:lang w:eastAsia="es-ES"/>
        </w:rPr>
        <w:t> </w:t>
      </w:r>
      <w:r w:rsidRPr="00253CF8">
        <w:rPr>
          <w:rFonts w:ascii="Arial" w:eastAsia="Times New Roman" w:hAnsi="Arial" w:cs="Arial"/>
          <w:color w:val="333333"/>
          <w:sz w:val="18"/>
          <w:szCs w:val="18"/>
          <w:lang w:eastAsia="es-ES"/>
        </w:rPr>
        <w:t>mensuales según la edad, variando el importe en función de la modalidad de convivencia y dependencia económica.</w:t>
      </w:r>
    </w:p>
    <w:p w:rsidR="00253CF8" w:rsidRPr="00253CF8" w:rsidRDefault="00253CF8" w:rsidP="00253CF8">
      <w:pPr>
        <w:numPr>
          <w:ilvl w:val="0"/>
          <w:numId w:val="19"/>
        </w:numPr>
        <w:spacing w:before="120" w:after="100" w:afterAutospacing="1" w:line="240" w:lineRule="auto"/>
        <w:ind w:left="120"/>
        <w:jc w:val="both"/>
        <w:rPr>
          <w:rFonts w:ascii="Arial" w:eastAsia="Times New Roman" w:hAnsi="Arial" w:cs="Arial"/>
          <w:color w:val="333333"/>
          <w:sz w:val="18"/>
          <w:szCs w:val="18"/>
          <w:lang w:eastAsia="es-ES"/>
        </w:rPr>
      </w:pPr>
      <w:r w:rsidRPr="00253CF8">
        <w:rPr>
          <w:rFonts w:ascii="Arial" w:eastAsia="Times New Roman" w:hAnsi="Arial" w:cs="Arial"/>
          <w:i/>
          <w:iCs/>
          <w:color w:val="333333"/>
          <w:sz w:val="18"/>
          <w:lang w:eastAsia="es-ES"/>
        </w:rPr>
        <w:t>La prestación de incapacidad permanente total y la de jubilación derivada de ella</w:t>
      </w:r>
      <w:r w:rsidRPr="00253CF8">
        <w:rPr>
          <w:rFonts w:ascii="Arial" w:eastAsia="Times New Roman" w:hAnsi="Arial" w:cs="Arial"/>
          <w:color w:val="333333"/>
          <w:sz w:val="18"/>
          <w:szCs w:val="18"/>
          <w:lang w:eastAsia="es-ES"/>
        </w:rPr>
        <w:t>, por cambio de denominación al cumplir el interesado 65 años años,</w:t>
      </w:r>
      <w:r w:rsidRPr="00253CF8">
        <w:rPr>
          <w:rFonts w:ascii="Arial" w:eastAsia="Times New Roman" w:hAnsi="Arial" w:cs="Arial"/>
          <w:color w:val="333333"/>
          <w:sz w:val="18"/>
          <w:lang w:eastAsia="es-ES"/>
        </w:rPr>
        <w:t> </w:t>
      </w:r>
      <w:r w:rsidRPr="00253CF8">
        <w:rPr>
          <w:rFonts w:ascii="Arial" w:eastAsia="Times New Roman" w:hAnsi="Arial" w:cs="Arial"/>
          <w:i/>
          <w:iCs/>
          <w:color w:val="333333"/>
          <w:sz w:val="18"/>
          <w:lang w:eastAsia="es-ES"/>
        </w:rPr>
        <w:t>está sujeta a tributación</w:t>
      </w:r>
      <w:r w:rsidRPr="00253CF8">
        <w:rPr>
          <w:rFonts w:ascii="Arial" w:eastAsia="Times New Roman" w:hAnsi="Arial" w:cs="Arial"/>
          <w:color w:val="333333"/>
          <w:sz w:val="18"/>
          <w:lang w:eastAsia="es-ES"/>
        </w:rPr>
        <w:t> </w:t>
      </w:r>
      <w:r w:rsidRPr="00253CF8">
        <w:rPr>
          <w:rFonts w:ascii="Arial" w:eastAsia="Times New Roman" w:hAnsi="Arial" w:cs="Arial"/>
          <w:color w:val="333333"/>
          <w:sz w:val="18"/>
          <w:szCs w:val="18"/>
          <w:lang w:eastAsia="es-ES"/>
        </w:rPr>
        <w:t>en los términos establecidos en las normas reguladoras del Impuesto sobre la renta de las personas físicas (IRPF) y sometida, en su caso, al sistema general de retenciones a cuenta del impuesto, con las siguientes excepciones:</w:t>
      </w:r>
    </w:p>
    <w:p w:rsidR="00253CF8" w:rsidRPr="00253CF8" w:rsidRDefault="00253CF8" w:rsidP="00253CF8">
      <w:pPr>
        <w:numPr>
          <w:ilvl w:val="1"/>
          <w:numId w:val="20"/>
        </w:numPr>
        <w:spacing w:before="120" w:after="100" w:afterAutospacing="1" w:line="240" w:lineRule="auto"/>
        <w:ind w:left="540"/>
        <w:jc w:val="both"/>
        <w:rPr>
          <w:rFonts w:ascii="Arial" w:eastAsia="Times New Roman" w:hAnsi="Arial" w:cs="Arial"/>
          <w:color w:val="333333"/>
          <w:sz w:val="18"/>
          <w:szCs w:val="18"/>
          <w:lang w:eastAsia="es-ES"/>
        </w:rPr>
      </w:pPr>
      <w:r w:rsidRPr="00253CF8">
        <w:rPr>
          <w:rFonts w:ascii="Arial" w:eastAsia="Times New Roman" w:hAnsi="Arial" w:cs="Arial"/>
          <w:color w:val="333333"/>
          <w:sz w:val="18"/>
          <w:szCs w:val="18"/>
          <w:lang w:eastAsia="es-ES"/>
        </w:rPr>
        <w:t>Las prestaciones derivadas de actos de terrorismo, estarán exentas siempre.</w:t>
      </w:r>
    </w:p>
    <w:p w:rsidR="00253CF8" w:rsidRPr="00253CF8" w:rsidRDefault="00253CF8" w:rsidP="00253CF8">
      <w:pPr>
        <w:numPr>
          <w:ilvl w:val="1"/>
          <w:numId w:val="20"/>
        </w:numPr>
        <w:spacing w:before="120" w:after="100" w:afterAutospacing="1" w:line="240" w:lineRule="auto"/>
        <w:ind w:left="540"/>
        <w:jc w:val="both"/>
        <w:rPr>
          <w:rFonts w:ascii="Arial" w:eastAsia="Times New Roman" w:hAnsi="Arial" w:cs="Arial"/>
          <w:color w:val="333333"/>
          <w:sz w:val="18"/>
          <w:szCs w:val="18"/>
          <w:lang w:eastAsia="es-ES"/>
        </w:rPr>
      </w:pPr>
      <w:r w:rsidRPr="00253CF8">
        <w:rPr>
          <w:rFonts w:ascii="Arial" w:eastAsia="Times New Roman" w:hAnsi="Arial" w:cs="Arial"/>
          <w:color w:val="333333"/>
          <w:sz w:val="18"/>
          <w:szCs w:val="18"/>
          <w:lang w:eastAsia="es-ES"/>
        </w:rPr>
        <w:t xml:space="preserve">Las pensiones de incapacidad permanente total (55%) y las de jubilación que deriven de ellas por cambio de denominación, aunque no exentas, lo estarán en </w:t>
      </w:r>
      <w:proofErr w:type="spellStart"/>
      <w:r w:rsidRPr="00253CF8">
        <w:rPr>
          <w:rFonts w:ascii="Arial" w:eastAsia="Times New Roman" w:hAnsi="Arial" w:cs="Arial"/>
          <w:color w:val="333333"/>
          <w:sz w:val="18"/>
          <w:szCs w:val="18"/>
          <w:lang w:eastAsia="es-ES"/>
        </w:rPr>
        <w:t>Bizkaia</w:t>
      </w:r>
      <w:proofErr w:type="spellEnd"/>
      <w:r w:rsidRPr="00253CF8">
        <w:rPr>
          <w:rFonts w:ascii="Arial" w:eastAsia="Times New Roman" w:hAnsi="Arial" w:cs="Arial"/>
          <w:color w:val="333333"/>
          <w:sz w:val="18"/>
          <w:szCs w:val="18"/>
          <w:lang w:eastAsia="es-ES"/>
        </w:rPr>
        <w:t xml:space="preserve">, Araba/Álava y </w:t>
      </w:r>
      <w:proofErr w:type="spellStart"/>
      <w:r w:rsidRPr="00253CF8">
        <w:rPr>
          <w:rFonts w:ascii="Arial" w:eastAsia="Times New Roman" w:hAnsi="Arial" w:cs="Arial"/>
          <w:color w:val="333333"/>
          <w:sz w:val="18"/>
          <w:szCs w:val="18"/>
          <w:lang w:eastAsia="es-ES"/>
        </w:rPr>
        <w:t>Gipuzkoa</w:t>
      </w:r>
      <w:proofErr w:type="spellEnd"/>
      <w:r w:rsidRPr="00253CF8">
        <w:rPr>
          <w:rFonts w:ascii="Arial" w:eastAsia="Times New Roman" w:hAnsi="Arial" w:cs="Arial"/>
          <w:color w:val="333333"/>
          <w:sz w:val="18"/>
          <w:szCs w:val="18"/>
          <w:lang w:eastAsia="es-ES"/>
        </w:rPr>
        <w:t xml:space="preserve"> si no se acreditan rentas.</w:t>
      </w:r>
    </w:p>
    <w:p w:rsidR="00253CF8" w:rsidRPr="00253CF8" w:rsidRDefault="00253CF8" w:rsidP="00253CF8">
      <w:pPr>
        <w:numPr>
          <w:ilvl w:val="1"/>
          <w:numId w:val="20"/>
        </w:numPr>
        <w:spacing w:before="120" w:after="100" w:afterAutospacing="1" w:line="240" w:lineRule="auto"/>
        <w:ind w:left="540"/>
        <w:jc w:val="both"/>
        <w:rPr>
          <w:rFonts w:ascii="Arial" w:eastAsia="Times New Roman" w:hAnsi="Arial" w:cs="Arial"/>
          <w:color w:val="333333"/>
          <w:sz w:val="18"/>
          <w:szCs w:val="18"/>
          <w:lang w:eastAsia="es-ES"/>
        </w:rPr>
      </w:pPr>
      <w:r w:rsidRPr="00253CF8">
        <w:rPr>
          <w:rFonts w:ascii="Arial" w:eastAsia="Times New Roman" w:hAnsi="Arial" w:cs="Arial"/>
          <w:color w:val="333333"/>
          <w:sz w:val="18"/>
          <w:szCs w:val="18"/>
          <w:lang w:eastAsia="es-ES"/>
        </w:rPr>
        <w:t xml:space="preserve">Las pensiones de incapacidad permanente total cualificada (75%) y las pensiones de jubilación derivadas de las mismas por cambio de denominación estarán exentas en </w:t>
      </w:r>
      <w:proofErr w:type="spellStart"/>
      <w:r w:rsidRPr="00253CF8">
        <w:rPr>
          <w:rFonts w:ascii="Arial" w:eastAsia="Times New Roman" w:hAnsi="Arial" w:cs="Arial"/>
          <w:color w:val="333333"/>
          <w:sz w:val="18"/>
          <w:szCs w:val="18"/>
          <w:lang w:eastAsia="es-ES"/>
        </w:rPr>
        <w:t>Bizkaia</w:t>
      </w:r>
      <w:proofErr w:type="spellEnd"/>
      <w:r w:rsidRPr="00253CF8">
        <w:rPr>
          <w:rFonts w:ascii="Arial" w:eastAsia="Times New Roman" w:hAnsi="Arial" w:cs="Arial"/>
          <w:color w:val="333333"/>
          <w:sz w:val="18"/>
          <w:szCs w:val="18"/>
          <w:lang w:eastAsia="es-ES"/>
        </w:rPr>
        <w:t xml:space="preserve">, Araba/Álava y </w:t>
      </w:r>
      <w:proofErr w:type="spellStart"/>
      <w:r w:rsidRPr="00253CF8">
        <w:rPr>
          <w:rFonts w:ascii="Arial" w:eastAsia="Times New Roman" w:hAnsi="Arial" w:cs="Arial"/>
          <w:color w:val="333333"/>
          <w:sz w:val="18"/>
          <w:szCs w:val="18"/>
          <w:lang w:eastAsia="es-ES"/>
        </w:rPr>
        <w:t>Gipuzkoa</w:t>
      </w:r>
      <w:proofErr w:type="spellEnd"/>
      <w:r w:rsidRPr="00253CF8">
        <w:rPr>
          <w:rFonts w:ascii="Arial" w:eastAsia="Times New Roman" w:hAnsi="Arial" w:cs="Arial"/>
          <w:color w:val="333333"/>
          <w:sz w:val="18"/>
          <w:szCs w:val="18"/>
          <w:lang w:eastAsia="es-ES"/>
        </w:rPr>
        <w:t>, salvo que los interesados acrediten rentas.</w:t>
      </w:r>
    </w:p>
    <w:p w:rsidR="002B04C1" w:rsidRDefault="002B04C1"/>
    <w:sectPr w:rsidR="002B04C1" w:rsidSect="002B04C1">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851B1"/>
    <w:multiLevelType w:val="multilevel"/>
    <w:tmpl w:val="97F649E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AB78C6"/>
    <w:multiLevelType w:val="multilevel"/>
    <w:tmpl w:val="47D42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A67869"/>
    <w:multiLevelType w:val="multilevel"/>
    <w:tmpl w:val="6BE83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45766E"/>
    <w:multiLevelType w:val="multilevel"/>
    <w:tmpl w:val="67E4E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9D6B35"/>
    <w:multiLevelType w:val="multilevel"/>
    <w:tmpl w:val="2AD6B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442CF0"/>
    <w:multiLevelType w:val="multilevel"/>
    <w:tmpl w:val="473C1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14029D1"/>
    <w:multiLevelType w:val="multilevel"/>
    <w:tmpl w:val="EF624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0233E5"/>
    <w:multiLevelType w:val="multilevel"/>
    <w:tmpl w:val="11764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0E131F5"/>
    <w:multiLevelType w:val="multilevel"/>
    <w:tmpl w:val="74763C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0981589"/>
    <w:multiLevelType w:val="multilevel"/>
    <w:tmpl w:val="9946B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226362C"/>
    <w:multiLevelType w:val="multilevel"/>
    <w:tmpl w:val="3948F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5172910"/>
    <w:multiLevelType w:val="multilevel"/>
    <w:tmpl w:val="238C1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5E90FDE"/>
    <w:multiLevelType w:val="multilevel"/>
    <w:tmpl w:val="FB046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0DD372E"/>
    <w:multiLevelType w:val="multilevel"/>
    <w:tmpl w:val="256CE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F1F50DD"/>
    <w:multiLevelType w:val="multilevel"/>
    <w:tmpl w:val="D60897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F6548A4"/>
    <w:multiLevelType w:val="multilevel"/>
    <w:tmpl w:val="087E0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B46A9E"/>
    <w:multiLevelType w:val="multilevel"/>
    <w:tmpl w:val="058C3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9AA4AB1"/>
    <w:multiLevelType w:val="multilevel"/>
    <w:tmpl w:val="6E841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A6A7999"/>
    <w:multiLevelType w:val="multilevel"/>
    <w:tmpl w:val="603E9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8"/>
  </w:num>
  <w:num w:numId="3">
    <w:abstractNumId w:val="7"/>
  </w:num>
  <w:num w:numId="4">
    <w:abstractNumId w:val="13"/>
  </w:num>
  <w:num w:numId="5">
    <w:abstractNumId w:val="18"/>
  </w:num>
  <w:num w:numId="6">
    <w:abstractNumId w:val="0"/>
  </w:num>
  <w:num w:numId="7">
    <w:abstractNumId w:val="0"/>
    <w:lvlOverride w:ilvl="0">
      <w:lvl w:ilvl="0">
        <w:numFmt w:val="decimal"/>
        <w:lvlText w:val=""/>
        <w:lvlJc w:val="left"/>
      </w:lvl>
    </w:lvlOverride>
    <w:lvlOverride w:ilvl="1">
      <w:lvl w:ilvl="1">
        <w:numFmt w:val="bullet"/>
        <w:lvlText w:val="o"/>
        <w:lvlJc w:val="left"/>
        <w:pPr>
          <w:tabs>
            <w:tab w:val="num" w:pos="1440"/>
          </w:tabs>
          <w:ind w:left="1440" w:hanging="360"/>
        </w:pPr>
        <w:rPr>
          <w:rFonts w:ascii="Courier New" w:hAnsi="Courier New" w:hint="default"/>
          <w:sz w:val="20"/>
        </w:rPr>
      </w:lvl>
    </w:lvlOverride>
  </w:num>
  <w:num w:numId="8">
    <w:abstractNumId w:val="9"/>
  </w:num>
  <w:num w:numId="9">
    <w:abstractNumId w:val="3"/>
  </w:num>
  <w:num w:numId="10">
    <w:abstractNumId w:val="5"/>
  </w:num>
  <w:num w:numId="11">
    <w:abstractNumId w:val="4"/>
  </w:num>
  <w:num w:numId="12">
    <w:abstractNumId w:val="16"/>
  </w:num>
  <w:num w:numId="13">
    <w:abstractNumId w:val="12"/>
  </w:num>
  <w:num w:numId="14">
    <w:abstractNumId w:val="1"/>
  </w:num>
  <w:num w:numId="15">
    <w:abstractNumId w:val="6"/>
  </w:num>
  <w:num w:numId="16">
    <w:abstractNumId w:val="2"/>
  </w:num>
  <w:num w:numId="17">
    <w:abstractNumId w:val="17"/>
  </w:num>
  <w:num w:numId="18">
    <w:abstractNumId w:val="15"/>
  </w:num>
  <w:num w:numId="19">
    <w:abstractNumId w:val="11"/>
  </w:num>
  <w:num w:numId="2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53CF8"/>
    <w:rsid w:val="00150BEE"/>
    <w:rsid w:val="00253CF8"/>
    <w:rsid w:val="002B04C1"/>
    <w:rsid w:val="00A23525"/>
    <w:rsid w:val="00E6147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04C1"/>
  </w:style>
  <w:style w:type="paragraph" w:styleId="Ttulo3">
    <w:name w:val="heading 3"/>
    <w:basedOn w:val="Normal"/>
    <w:link w:val="Ttulo3Car"/>
    <w:uiPriority w:val="9"/>
    <w:qFormat/>
    <w:rsid w:val="00253CF8"/>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paragraph" w:styleId="Ttulo4">
    <w:name w:val="heading 4"/>
    <w:basedOn w:val="Normal"/>
    <w:link w:val="Ttulo4Car"/>
    <w:uiPriority w:val="9"/>
    <w:qFormat/>
    <w:rsid w:val="00253CF8"/>
    <w:pPr>
      <w:spacing w:before="100" w:beforeAutospacing="1" w:after="100" w:afterAutospacing="1" w:line="240" w:lineRule="auto"/>
      <w:outlineLvl w:val="3"/>
    </w:pPr>
    <w:rPr>
      <w:rFonts w:ascii="Times New Roman" w:eastAsia="Times New Roman" w:hAnsi="Times New Roman" w:cs="Times New Roman"/>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253CF8"/>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253CF8"/>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253CF8"/>
    <w:rPr>
      <w:color w:val="0000FF"/>
      <w:u w:val="single"/>
    </w:rPr>
  </w:style>
  <w:style w:type="character" w:customStyle="1" w:styleId="apple-converted-space">
    <w:name w:val="apple-converted-space"/>
    <w:basedOn w:val="Fuentedeprrafopredeter"/>
    <w:rsid w:val="00253CF8"/>
  </w:style>
  <w:style w:type="paragraph" w:styleId="z-Principiodelformulario">
    <w:name w:val="HTML Top of Form"/>
    <w:basedOn w:val="Normal"/>
    <w:next w:val="Normal"/>
    <w:link w:val="z-PrincipiodelformularioCar"/>
    <w:hidden/>
    <w:uiPriority w:val="99"/>
    <w:semiHidden/>
    <w:unhideWhenUsed/>
    <w:rsid w:val="00253CF8"/>
    <w:pPr>
      <w:pBdr>
        <w:bottom w:val="single" w:sz="6" w:space="1" w:color="auto"/>
      </w:pBdr>
      <w:spacing w:after="0" w:line="240" w:lineRule="auto"/>
      <w:jc w:val="center"/>
    </w:pPr>
    <w:rPr>
      <w:rFonts w:ascii="Arial" w:eastAsia="Times New Roman" w:hAnsi="Arial" w:cs="Arial"/>
      <w:vanish/>
      <w:sz w:val="16"/>
      <w:szCs w:val="16"/>
      <w:lang w:eastAsia="es-ES"/>
    </w:rPr>
  </w:style>
  <w:style w:type="character" w:customStyle="1" w:styleId="z-PrincipiodelformularioCar">
    <w:name w:val="z-Principio del formulario Car"/>
    <w:basedOn w:val="Fuentedeprrafopredeter"/>
    <w:link w:val="z-Principiodelformulario"/>
    <w:uiPriority w:val="99"/>
    <w:semiHidden/>
    <w:rsid w:val="00253CF8"/>
    <w:rPr>
      <w:rFonts w:ascii="Arial" w:eastAsia="Times New Roman" w:hAnsi="Arial" w:cs="Arial"/>
      <w:vanish/>
      <w:sz w:val="16"/>
      <w:szCs w:val="16"/>
      <w:lang w:eastAsia="es-ES"/>
    </w:rPr>
  </w:style>
  <w:style w:type="paragraph" w:styleId="z-Finaldelformulario">
    <w:name w:val="HTML Bottom of Form"/>
    <w:basedOn w:val="Normal"/>
    <w:next w:val="Normal"/>
    <w:link w:val="z-FinaldelformularioCar"/>
    <w:hidden/>
    <w:uiPriority w:val="99"/>
    <w:semiHidden/>
    <w:unhideWhenUsed/>
    <w:rsid w:val="00253CF8"/>
    <w:pPr>
      <w:pBdr>
        <w:top w:val="single" w:sz="6" w:space="1" w:color="auto"/>
      </w:pBdr>
      <w:spacing w:after="0" w:line="240" w:lineRule="auto"/>
      <w:jc w:val="center"/>
    </w:pPr>
    <w:rPr>
      <w:rFonts w:ascii="Arial" w:eastAsia="Times New Roman" w:hAnsi="Arial" w:cs="Arial"/>
      <w:vanish/>
      <w:sz w:val="16"/>
      <w:szCs w:val="16"/>
      <w:lang w:eastAsia="es-ES"/>
    </w:rPr>
  </w:style>
  <w:style w:type="character" w:customStyle="1" w:styleId="z-FinaldelformularioCar">
    <w:name w:val="z-Final del formulario Car"/>
    <w:basedOn w:val="Fuentedeprrafopredeter"/>
    <w:link w:val="z-Finaldelformulario"/>
    <w:uiPriority w:val="99"/>
    <w:semiHidden/>
    <w:rsid w:val="00253CF8"/>
    <w:rPr>
      <w:rFonts w:ascii="Arial" w:eastAsia="Times New Roman" w:hAnsi="Arial" w:cs="Arial"/>
      <w:vanish/>
      <w:sz w:val="16"/>
      <w:szCs w:val="16"/>
      <w:lang w:eastAsia="es-ES"/>
    </w:rPr>
  </w:style>
  <w:style w:type="paragraph" w:styleId="NormalWeb">
    <w:name w:val="Normal (Web)"/>
    <w:basedOn w:val="Normal"/>
    <w:uiPriority w:val="99"/>
    <w:semiHidden/>
    <w:unhideWhenUsed/>
    <w:rsid w:val="00253CF8"/>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irdivjust">
    <w:name w:val="irdivjust"/>
    <w:basedOn w:val="Normal"/>
    <w:rsid w:val="00253CF8"/>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separadortexto">
    <w:name w:val="separador_texto"/>
    <w:basedOn w:val="Normal"/>
    <w:rsid w:val="00253CF8"/>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253CF8"/>
    <w:rPr>
      <w:i/>
      <w:iCs/>
    </w:rPr>
  </w:style>
  <w:style w:type="character" w:styleId="AcrnimoHTML">
    <w:name w:val="HTML Acronym"/>
    <w:basedOn w:val="Fuentedeprrafopredeter"/>
    <w:uiPriority w:val="99"/>
    <w:semiHidden/>
    <w:unhideWhenUsed/>
    <w:rsid w:val="00253CF8"/>
  </w:style>
  <w:style w:type="character" w:styleId="Textoennegrita">
    <w:name w:val="Strong"/>
    <w:basedOn w:val="Fuentedeprrafopredeter"/>
    <w:uiPriority w:val="22"/>
    <w:qFormat/>
    <w:rsid w:val="00253CF8"/>
    <w:rPr>
      <w:b/>
      <w:bCs/>
    </w:rPr>
  </w:style>
  <w:style w:type="character" w:customStyle="1" w:styleId="irabbr">
    <w:name w:val="irabbr"/>
    <w:basedOn w:val="Fuentedeprrafopredeter"/>
    <w:rsid w:val="00253CF8"/>
  </w:style>
  <w:style w:type="paragraph" w:styleId="Textodeglobo">
    <w:name w:val="Balloon Text"/>
    <w:basedOn w:val="Normal"/>
    <w:link w:val="TextodegloboCar"/>
    <w:uiPriority w:val="99"/>
    <w:semiHidden/>
    <w:unhideWhenUsed/>
    <w:rsid w:val="00253CF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53CF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55122795">
      <w:bodyDiv w:val="1"/>
      <w:marLeft w:val="0"/>
      <w:marRight w:val="0"/>
      <w:marTop w:val="0"/>
      <w:marBottom w:val="0"/>
      <w:divBdr>
        <w:top w:val="none" w:sz="0" w:space="0" w:color="auto"/>
        <w:left w:val="none" w:sz="0" w:space="0" w:color="auto"/>
        <w:bottom w:val="none" w:sz="0" w:space="0" w:color="auto"/>
        <w:right w:val="none" w:sz="0" w:space="0" w:color="auto"/>
      </w:divBdr>
      <w:divsChild>
        <w:div w:id="1237327836">
          <w:marLeft w:val="240"/>
          <w:marRight w:val="240"/>
          <w:marTop w:val="240"/>
          <w:marBottom w:val="240"/>
          <w:divBdr>
            <w:top w:val="none" w:sz="0" w:space="0" w:color="auto"/>
            <w:left w:val="none" w:sz="0" w:space="0" w:color="auto"/>
            <w:bottom w:val="none" w:sz="0" w:space="0" w:color="auto"/>
            <w:right w:val="none" w:sz="0" w:space="0" w:color="auto"/>
          </w:divBdr>
        </w:div>
        <w:div w:id="944078128">
          <w:marLeft w:val="0"/>
          <w:marRight w:val="120"/>
          <w:marTop w:val="0"/>
          <w:marBottom w:val="0"/>
          <w:divBdr>
            <w:top w:val="none" w:sz="0" w:space="0" w:color="auto"/>
            <w:left w:val="none" w:sz="0" w:space="0" w:color="auto"/>
            <w:bottom w:val="none" w:sz="0" w:space="0" w:color="auto"/>
            <w:right w:val="none" w:sz="0" w:space="0" w:color="auto"/>
          </w:divBdr>
          <w:divsChild>
            <w:div w:id="1571697214">
              <w:marLeft w:val="0"/>
              <w:marRight w:val="0"/>
              <w:marTop w:val="180"/>
              <w:marBottom w:val="120"/>
              <w:divBdr>
                <w:top w:val="none" w:sz="0" w:space="0" w:color="auto"/>
                <w:left w:val="none" w:sz="0" w:space="0" w:color="auto"/>
                <w:bottom w:val="none" w:sz="0" w:space="0" w:color="auto"/>
                <w:right w:val="none" w:sz="0" w:space="0" w:color="auto"/>
              </w:divBdr>
            </w:div>
            <w:div w:id="2133667370">
              <w:marLeft w:val="0"/>
              <w:marRight w:val="0"/>
              <w:marTop w:val="180"/>
              <w:marBottom w:val="120"/>
              <w:divBdr>
                <w:top w:val="none" w:sz="0" w:space="0" w:color="auto"/>
                <w:left w:val="none" w:sz="0" w:space="0" w:color="auto"/>
                <w:bottom w:val="none" w:sz="0" w:space="0" w:color="auto"/>
                <w:right w:val="none" w:sz="0" w:space="0" w:color="auto"/>
              </w:divBdr>
            </w:div>
            <w:div w:id="138502322">
              <w:marLeft w:val="0"/>
              <w:marRight w:val="0"/>
              <w:marTop w:val="0"/>
              <w:marBottom w:val="240"/>
              <w:divBdr>
                <w:top w:val="none" w:sz="0" w:space="0" w:color="auto"/>
                <w:left w:val="none" w:sz="0" w:space="0" w:color="auto"/>
                <w:bottom w:val="none" w:sz="0" w:space="0" w:color="auto"/>
                <w:right w:val="none" w:sz="0" w:space="0" w:color="auto"/>
              </w:divBdr>
            </w:div>
          </w:divsChild>
        </w:div>
        <w:div w:id="1328560161">
          <w:marLeft w:val="0"/>
          <w:marRight w:val="0"/>
          <w:marTop w:val="0"/>
          <w:marBottom w:val="120"/>
          <w:divBdr>
            <w:top w:val="single" w:sz="48" w:space="0" w:color="auto"/>
            <w:left w:val="none" w:sz="0" w:space="0" w:color="auto"/>
            <w:bottom w:val="none" w:sz="0" w:space="0" w:color="auto"/>
            <w:right w:val="none" w:sz="0" w:space="0" w:color="auto"/>
          </w:divBdr>
          <w:divsChild>
            <w:div w:id="1624189136">
              <w:marLeft w:val="0"/>
              <w:marRight w:val="0"/>
              <w:marTop w:val="0"/>
              <w:marBottom w:val="240"/>
              <w:divBdr>
                <w:top w:val="none" w:sz="0" w:space="0" w:color="auto"/>
                <w:left w:val="none" w:sz="0" w:space="0" w:color="auto"/>
                <w:bottom w:val="none" w:sz="0" w:space="0" w:color="auto"/>
                <w:right w:val="none" w:sz="0" w:space="0" w:color="auto"/>
              </w:divBdr>
              <w:divsChild>
                <w:div w:id="771975695">
                  <w:marLeft w:val="0"/>
                  <w:marRight w:val="240"/>
                  <w:marTop w:val="0"/>
                  <w:marBottom w:val="0"/>
                  <w:divBdr>
                    <w:top w:val="none" w:sz="0" w:space="0" w:color="auto"/>
                    <w:left w:val="none" w:sz="0" w:space="0" w:color="auto"/>
                    <w:bottom w:val="none" w:sz="0" w:space="0" w:color="auto"/>
                    <w:right w:val="none" w:sz="0" w:space="0" w:color="auto"/>
                  </w:divBdr>
                  <w:divsChild>
                    <w:div w:id="1465388790">
                      <w:marLeft w:val="0"/>
                      <w:marRight w:val="0"/>
                      <w:marTop w:val="0"/>
                      <w:marBottom w:val="0"/>
                      <w:divBdr>
                        <w:top w:val="none" w:sz="0" w:space="0" w:color="auto"/>
                        <w:left w:val="none" w:sz="0" w:space="0" w:color="auto"/>
                        <w:bottom w:val="none" w:sz="0" w:space="0" w:color="auto"/>
                        <w:right w:val="none" w:sz="0" w:space="0" w:color="auto"/>
                      </w:divBdr>
                    </w:div>
                    <w:div w:id="1896965424">
                      <w:marLeft w:val="48"/>
                      <w:marRight w:val="0"/>
                      <w:marTop w:val="0"/>
                      <w:marBottom w:val="240"/>
                      <w:divBdr>
                        <w:top w:val="none" w:sz="0" w:space="0" w:color="auto"/>
                        <w:left w:val="none" w:sz="0" w:space="0" w:color="auto"/>
                        <w:bottom w:val="none" w:sz="0" w:space="0" w:color="auto"/>
                        <w:right w:val="none" w:sz="0" w:space="0" w:color="auto"/>
                      </w:divBdr>
                    </w:div>
                    <w:div w:id="385035579">
                      <w:marLeft w:val="120"/>
                      <w:marRight w:val="120"/>
                      <w:marTop w:val="120"/>
                      <w:marBottom w:val="120"/>
                      <w:divBdr>
                        <w:top w:val="none" w:sz="0" w:space="0" w:color="auto"/>
                        <w:left w:val="none" w:sz="0" w:space="0" w:color="auto"/>
                        <w:bottom w:val="none" w:sz="0" w:space="0" w:color="auto"/>
                        <w:right w:val="none" w:sz="0" w:space="0" w:color="auto"/>
                      </w:divBdr>
                    </w:div>
                    <w:div w:id="1287739950">
                      <w:marLeft w:val="0"/>
                      <w:marRight w:val="0"/>
                      <w:marTop w:val="0"/>
                      <w:marBottom w:val="0"/>
                      <w:divBdr>
                        <w:top w:val="none" w:sz="0" w:space="0" w:color="auto"/>
                        <w:left w:val="none" w:sz="0" w:space="0" w:color="auto"/>
                        <w:bottom w:val="none" w:sz="0" w:space="0" w:color="auto"/>
                        <w:right w:val="none" w:sz="0" w:space="0" w:color="auto"/>
                      </w:divBdr>
                      <w:divsChild>
                        <w:div w:id="1766878055">
                          <w:marLeft w:val="120"/>
                          <w:marRight w:val="120"/>
                          <w:marTop w:val="120"/>
                          <w:marBottom w:val="120"/>
                          <w:divBdr>
                            <w:top w:val="none" w:sz="0" w:space="0" w:color="auto"/>
                            <w:left w:val="none" w:sz="0" w:space="0" w:color="auto"/>
                            <w:bottom w:val="none" w:sz="0" w:space="0" w:color="auto"/>
                            <w:right w:val="none" w:sz="0" w:space="0" w:color="auto"/>
                          </w:divBdr>
                          <w:divsChild>
                            <w:div w:id="1212887113">
                              <w:marLeft w:val="0"/>
                              <w:marRight w:val="0"/>
                              <w:marTop w:val="0"/>
                              <w:marBottom w:val="0"/>
                              <w:divBdr>
                                <w:top w:val="none" w:sz="0" w:space="0" w:color="auto"/>
                                <w:left w:val="none" w:sz="0" w:space="0" w:color="auto"/>
                                <w:bottom w:val="none" w:sz="0" w:space="0" w:color="auto"/>
                                <w:right w:val="none" w:sz="0" w:space="0" w:color="auto"/>
                              </w:divBdr>
                            </w:div>
                          </w:divsChild>
                        </w:div>
                        <w:div w:id="2144157922">
                          <w:marLeft w:val="120"/>
                          <w:marRight w:val="120"/>
                          <w:marTop w:val="120"/>
                          <w:marBottom w:val="120"/>
                          <w:divBdr>
                            <w:top w:val="none" w:sz="0" w:space="0" w:color="auto"/>
                            <w:left w:val="none" w:sz="0" w:space="0" w:color="auto"/>
                            <w:bottom w:val="none" w:sz="0" w:space="0" w:color="auto"/>
                            <w:right w:val="none" w:sz="0" w:space="0" w:color="auto"/>
                          </w:divBdr>
                        </w:div>
                        <w:div w:id="1121266638">
                          <w:marLeft w:val="120"/>
                          <w:marRight w:val="120"/>
                          <w:marTop w:val="120"/>
                          <w:marBottom w:val="120"/>
                          <w:divBdr>
                            <w:top w:val="none" w:sz="0" w:space="0" w:color="auto"/>
                            <w:left w:val="none" w:sz="0" w:space="0" w:color="auto"/>
                            <w:bottom w:val="none" w:sz="0" w:space="0" w:color="auto"/>
                            <w:right w:val="none" w:sz="0" w:space="0" w:color="auto"/>
                          </w:divBdr>
                        </w:div>
                        <w:div w:id="510803506">
                          <w:marLeft w:val="120"/>
                          <w:marRight w:val="120"/>
                          <w:marTop w:val="120"/>
                          <w:marBottom w:val="120"/>
                          <w:divBdr>
                            <w:top w:val="none" w:sz="0" w:space="0" w:color="auto"/>
                            <w:left w:val="none" w:sz="0" w:space="0" w:color="auto"/>
                            <w:bottom w:val="none" w:sz="0" w:space="0" w:color="auto"/>
                            <w:right w:val="none" w:sz="0" w:space="0" w:color="auto"/>
                          </w:divBdr>
                        </w:div>
                        <w:div w:id="513418495">
                          <w:marLeft w:val="120"/>
                          <w:marRight w:val="120"/>
                          <w:marTop w:val="120"/>
                          <w:marBottom w:val="120"/>
                          <w:divBdr>
                            <w:top w:val="none" w:sz="0" w:space="0" w:color="auto"/>
                            <w:left w:val="none" w:sz="0" w:space="0" w:color="auto"/>
                            <w:bottom w:val="none" w:sz="0" w:space="0" w:color="auto"/>
                            <w:right w:val="none" w:sz="0" w:space="0" w:color="auto"/>
                          </w:divBdr>
                        </w:div>
                        <w:div w:id="121458649">
                          <w:marLeft w:val="120"/>
                          <w:marRight w:val="120"/>
                          <w:marTop w:val="120"/>
                          <w:marBottom w:val="120"/>
                          <w:divBdr>
                            <w:top w:val="none" w:sz="0" w:space="0" w:color="auto"/>
                            <w:left w:val="none" w:sz="0" w:space="0" w:color="auto"/>
                            <w:bottom w:val="none" w:sz="0" w:space="0" w:color="auto"/>
                            <w:right w:val="none" w:sz="0" w:space="0" w:color="auto"/>
                          </w:divBdr>
                          <w:divsChild>
                            <w:div w:id="1998996016">
                              <w:marLeft w:val="24"/>
                              <w:marRight w:val="0"/>
                              <w:marTop w:val="0"/>
                              <w:marBottom w:val="0"/>
                              <w:divBdr>
                                <w:top w:val="none" w:sz="0" w:space="0" w:color="auto"/>
                                <w:left w:val="none" w:sz="0" w:space="0" w:color="auto"/>
                                <w:bottom w:val="none" w:sz="0" w:space="0" w:color="auto"/>
                                <w:right w:val="none" w:sz="0" w:space="0" w:color="auto"/>
                              </w:divBdr>
                            </w:div>
                            <w:div w:id="1042293849">
                              <w:marLeft w:val="24"/>
                              <w:marRight w:val="0"/>
                              <w:marTop w:val="0"/>
                              <w:marBottom w:val="0"/>
                              <w:divBdr>
                                <w:top w:val="none" w:sz="0" w:space="0" w:color="auto"/>
                                <w:left w:val="none" w:sz="0" w:space="0" w:color="auto"/>
                                <w:bottom w:val="none" w:sz="0" w:space="0" w:color="auto"/>
                                <w:right w:val="none" w:sz="0" w:space="0" w:color="auto"/>
                              </w:divBdr>
                            </w:div>
                            <w:div w:id="568928903">
                              <w:marLeft w:val="24"/>
                              <w:marRight w:val="0"/>
                              <w:marTop w:val="0"/>
                              <w:marBottom w:val="0"/>
                              <w:divBdr>
                                <w:top w:val="none" w:sz="0" w:space="0" w:color="auto"/>
                                <w:left w:val="none" w:sz="0" w:space="0" w:color="auto"/>
                                <w:bottom w:val="none" w:sz="0" w:space="0" w:color="auto"/>
                                <w:right w:val="none" w:sz="0" w:space="0" w:color="auto"/>
                              </w:divBdr>
                            </w:div>
                          </w:divsChild>
                        </w:div>
                        <w:div w:id="1650548005">
                          <w:marLeft w:val="120"/>
                          <w:marRight w:val="120"/>
                          <w:marTop w:val="120"/>
                          <w:marBottom w:val="120"/>
                          <w:divBdr>
                            <w:top w:val="none" w:sz="0" w:space="0" w:color="auto"/>
                            <w:left w:val="none" w:sz="0" w:space="0" w:color="auto"/>
                            <w:bottom w:val="none" w:sz="0" w:space="0" w:color="auto"/>
                            <w:right w:val="none" w:sz="0" w:space="0" w:color="auto"/>
                          </w:divBdr>
                        </w:div>
                        <w:div w:id="2080401112">
                          <w:marLeft w:val="120"/>
                          <w:marRight w:val="120"/>
                          <w:marTop w:val="120"/>
                          <w:marBottom w:val="120"/>
                          <w:divBdr>
                            <w:top w:val="none" w:sz="0" w:space="0" w:color="auto"/>
                            <w:left w:val="none" w:sz="0" w:space="0" w:color="auto"/>
                            <w:bottom w:val="none" w:sz="0" w:space="0" w:color="auto"/>
                            <w:right w:val="none" w:sz="0" w:space="0" w:color="auto"/>
                          </w:divBdr>
                        </w:div>
                        <w:div w:id="1285425387">
                          <w:marLeft w:val="120"/>
                          <w:marRight w:val="120"/>
                          <w:marTop w:val="120"/>
                          <w:marBottom w:val="120"/>
                          <w:divBdr>
                            <w:top w:val="none" w:sz="0" w:space="0" w:color="auto"/>
                            <w:left w:val="none" w:sz="0" w:space="0" w:color="auto"/>
                            <w:bottom w:val="none" w:sz="0" w:space="0" w:color="auto"/>
                            <w:right w:val="none" w:sz="0" w:space="0" w:color="auto"/>
                          </w:divBdr>
                        </w:div>
                        <w:div w:id="626858562">
                          <w:marLeft w:val="120"/>
                          <w:marRight w:val="120"/>
                          <w:marTop w:val="120"/>
                          <w:marBottom w:val="120"/>
                          <w:divBdr>
                            <w:top w:val="none" w:sz="0" w:space="0" w:color="auto"/>
                            <w:left w:val="none" w:sz="0" w:space="0" w:color="auto"/>
                            <w:bottom w:val="none" w:sz="0" w:space="0" w:color="auto"/>
                            <w:right w:val="none" w:sz="0" w:space="0" w:color="auto"/>
                          </w:divBdr>
                        </w:div>
                        <w:div w:id="1468208233">
                          <w:marLeft w:val="120"/>
                          <w:marRight w:val="120"/>
                          <w:marTop w:val="120"/>
                          <w:marBottom w:val="120"/>
                          <w:divBdr>
                            <w:top w:val="none" w:sz="0" w:space="0" w:color="auto"/>
                            <w:left w:val="none" w:sz="0" w:space="0" w:color="auto"/>
                            <w:bottom w:val="none" w:sz="0" w:space="0" w:color="auto"/>
                            <w:right w:val="none" w:sz="0" w:space="0" w:color="auto"/>
                          </w:divBdr>
                        </w:div>
                        <w:div w:id="2090884938">
                          <w:marLeft w:val="120"/>
                          <w:marRight w:val="120"/>
                          <w:marTop w:val="120"/>
                          <w:marBottom w:val="120"/>
                          <w:divBdr>
                            <w:top w:val="none" w:sz="0" w:space="0" w:color="auto"/>
                            <w:left w:val="none" w:sz="0" w:space="0" w:color="auto"/>
                            <w:bottom w:val="none" w:sz="0" w:space="0" w:color="auto"/>
                            <w:right w:val="none" w:sz="0" w:space="0" w:color="auto"/>
                          </w:divBdr>
                          <w:divsChild>
                            <w:div w:id="774977407">
                              <w:marLeft w:val="24"/>
                              <w:marRight w:val="0"/>
                              <w:marTop w:val="0"/>
                              <w:marBottom w:val="0"/>
                              <w:divBdr>
                                <w:top w:val="none" w:sz="0" w:space="0" w:color="auto"/>
                                <w:left w:val="none" w:sz="0" w:space="0" w:color="auto"/>
                                <w:bottom w:val="none" w:sz="0" w:space="0" w:color="auto"/>
                                <w:right w:val="none" w:sz="0" w:space="0" w:color="auto"/>
                              </w:divBdr>
                            </w:div>
                            <w:div w:id="539708819">
                              <w:marLeft w:val="24"/>
                              <w:marRight w:val="0"/>
                              <w:marTop w:val="0"/>
                              <w:marBottom w:val="0"/>
                              <w:divBdr>
                                <w:top w:val="none" w:sz="0" w:space="0" w:color="auto"/>
                                <w:left w:val="none" w:sz="0" w:space="0" w:color="auto"/>
                                <w:bottom w:val="none" w:sz="0" w:space="0" w:color="auto"/>
                                <w:right w:val="none" w:sz="0" w:space="0" w:color="auto"/>
                              </w:divBdr>
                            </w:div>
                            <w:div w:id="1858933003">
                              <w:marLeft w:val="24"/>
                              <w:marRight w:val="0"/>
                              <w:marTop w:val="0"/>
                              <w:marBottom w:val="0"/>
                              <w:divBdr>
                                <w:top w:val="none" w:sz="0" w:space="0" w:color="auto"/>
                                <w:left w:val="none" w:sz="0" w:space="0" w:color="auto"/>
                                <w:bottom w:val="none" w:sz="0" w:space="0" w:color="auto"/>
                                <w:right w:val="none" w:sz="0" w:space="0" w:color="auto"/>
                              </w:divBdr>
                            </w:div>
                            <w:div w:id="1100176449">
                              <w:marLeft w:val="24"/>
                              <w:marRight w:val="0"/>
                              <w:marTop w:val="0"/>
                              <w:marBottom w:val="0"/>
                              <w:divBdr>
                                <w:top w:val="none" w:sz="0" w:space="0" w:color="auto"/>
                                <w:left w:val="none" w:sz="0" w:space="0" w:color="auto"/>
                                <w:bottom w:val="none" w:sz="0" w:space="0" w:color="auto"/>
                                <w:right w:val="none" w:sz="0" w:space="0" w:color="auto"/>
                              </w:divBdr>
                            </w:div>
                          </w:divsChild>
                        </w:div>
                        <w:div w:id="1236277267">
                          <w:marLeft w:val="120"/>
                          <w:marRight w:val="120"/>
                          <w:marTop w:val="120"/>
                          <w:marBottom w:val="120"/>
                          <w:divBdr>
                            <w:top w:val="none" w:sz="0" w:space="0" w:color="auto"/>
                            <w:left w:val="none" w:sz="0" w:space="0" w:color="auto"/>
                            <w:bottom w:val="none" w:sz="0" w:space="0" w:color="auto"/>
                            <w:right w:val="none" w:sz="0" w:space="0" w:color="auto"/>
                          </w:divBdr>
                        </w:div>
                        <w:div w:id="619068518">
                          <w:marLeft w:val="120"/>
                          <w:marRight w:val="120"/>
                          <w:marTop w:val="120"/>
                          <w:marBottom w:val="120"/>
                          <w:divBdr>
                            <w:top w:val="none" w:sz="0" w:space="0" w:color="auto"/>
                            <w:left w:val="none" w:sz="0" w:space="0" w:color="auto"/>
                            <w:bottom w:val="none" w:sz="0" w:space="0" w:color="auto"/>
                            <w:right w:val="none" w:sz="0" w:space="0" w:color="auto"/>
                          </w:divBdr>
                        </w:div>
                        <w:div w:id="1328360576">
                          <w:marLeft w:val="120"/>
                          <w:marRight w:val="120"/>
                          <w:marTop w:val="120"/>
                          <w:marBottom w:val="120"/>
                          <w:divBdr>
                            <w:top w:val="none" w:sz="0" w:space="0" w:color="auto"/>
                            <w:left w:val="none" w:sz="0" w:space="0" w:color="auto"/>
                            <w:bottom w:val="none" w:sz="0" w:space="0" w:color="auto"/>
                            <w:right w:val="none" w:sz="0" w:space="0" w:color="auto"/>
                          </w:divBdr>
                          <w:divsChild>
                            <w:div w:id="136840406">
                              <w:marLeft w:val="0"/>
                              <w:marRight w:val="0"/>
                              <w:marTop w:val="0"/>
                              <w:marBottom w:val="0"/>
                              <w:divBdr>
                                <w:top w:val="none" w:sz="0" w:space="0" w:color="auto"/>
                                <w:left w:val="none" w:sz="0" w:space="0" w:color="auto"/>
                                <w:bottom w:val="none" w:sz="0" w:space="0" w:color="auto"/>
                                <w:right w:val="none" w:sz="0" w:space="0" w:color="auto"/>
                              </w:divBdr>
                            </w:div>
                            <w:div w:id="554700127">
                              <w:marLeft w:val="0"/>
                              <w:marRight w:val="0"/>
                              <w:marTop w:val="0"/>
                              <w:marBottom w:val="0"/>
                              <w:divBdr>
                                <w:top w:val="none" w:sz="0" w:space="0" w:color="auto"/>
                                <w:left w:val="none" w:sz="0" w:space="0" w:color="auto"/>
                                <w:bottom w:val="none" w:sz="0" w:space="0" w:color="auto"/>
                                <w:right w:val="none" w:sz="0" w:space="0" w:color="auto"/>
                              </w:divBdr>
                            </w:div>
                            <w:div w:id="1553075030">
                              <w:marLeft w:val="0"/>
                              <w:marRight w:val="0"/>
                              <w:marTop w:val="0"/>
                              <w:marBottom w:val="0"/>
                              <w:divBdr>
                                <w:top w:val="none" w:sz="0" w:space="0" w:color="auto"/>
                                <w:left w:val="none" w:sz="0" w:space="0" w:color="auto"/>
                                <w:bottom w:val="none" w:sz="0" w:space="0" w:color="auto"/>
                                <w:right w:val="none" w:sz="0" w:space="0" w:color="auto"/>
                              </w:divBdr>
                            </w:div>
                            <w:div w:id="1833328559">
                              <w:marLeft w:val="0"/>
                              <w:marRight w:val="0"/>
                              <w:marTop w:val="0"/>
                              <w:marBottom w:val="0"/>
                              <w:divBdr>
                                <w:top w:val="none" w:sz="0" w:space="0" w:color="auto"/>
                                <w:left w:val="none" w:sz="0" w:space="0" w:color="auto"/>
                                <w:bottom w:val="none" w:sz="0" w:space="0" w:color="auto"/>
                                <w:right w:val="none" w:sz="0" w:space="0" w:color="auto"/>
                              </w:divBdr>
                            </w:div>
                            <w:div w:id="298730817">
                              <w:marLeft w:val="0"/>
                              <w:marRight w:val="0"/>
                              <w:marTop w:val="0"/>
                              <w:marBottom w:val="0"/>
                              <w:divBdr>
                                <w:top w:val="none" w:sz="0" w:space="0" w:color="auto"/>
                                <w:left w:val="none" w:sz="0" w:space="0" w:color="auto"/>
                                <w:bottom w:val="none" w:sz="0" w:space="0" w:color="auto"/>
                                <w:right w:val="none" w:sz="0" w:space="0" w:color="auto"/>
                              </w:divBdr>
                            </w:div>
                            <w:div w:id="902451019">
                              <w:marLeft w:val="0"/>
                              <w:marRight w:val="0"/>
                              <w:marTop w:val="0"/>
                              <w:marBottom w:val="0"/>
                              <w:divBdr>
                                <w:top w:val="none" w:sz="0" w:space="0" w:color="auto"/>
                                <w:left w:val="none" w:sz="0" w:space="0" w:color="auto"/>
                                <w:bottom w:val="none" w:sz="0" w:space="0" w:color="auto"/>
                                <w:right w:val="none" w:sz="0" w:space="0" w:color="auto"/>
                              </w:divBdr>
                            </w:div>
                            <w:div w:id="131024506">
                              <w:marLeft w:val="0"/>
                              <w:marRight w:val="0"/>
                              <w:marTop w:val="0"/>
                              <w:marBottom w:val="0"/>
                              <w:divBdr>
                                <w:top w:val="none" w:sz="0" w:space="0" w:color="auto"/>
                                <w:left w:val="none" w:sz="0" w:space="0" w:color="auto"/>
                                <w:bottom w:val="none" w:sz="0" w:space="0" w:color="auto"/>
                                <w:right w:val="none" w:sz="0" w:space="0" w:color="auto"/>
                              </w:divBdr>
                            </w:div>
                            <w:div w:id="133407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g-social.es/Internet_1/Trabajadores/PrestacionesPension10935/Incapacidadpermanen10960/RegimenGeneral/Prestaciones/Incapacidadpermanen28700/CuantiaAbono/42804" TargetMode="External"/><Relationship Id="rId13" Type="http://schemas.openxmlformats.org/officeDocument/2006/relationships/hyperlink" Target="http://www.seg-social.es/Internet_1/Trabajadores/PrestacionesPension10935/Incapacidadpermanen10960/RegimenGeneral/Prestaciones/Incapacidadpermanen28700/CuantiaAbono/ssLINK/177458" TargetMode="External"/><Relationship Id="rId3" Type="http://schemas.openxmlformats.org/officeDocument/2006/relationships/settings" Target="settings.xml"/><Relationship Id="rId7" Type="http://schemas.openxmlformats.org/officeDocument/2006/relationships/hyperlink" Target="http://www.seg-social.es/Internet_1/Trabajadores/PrestacionesPension10935/Incapacidadpermanen10960/RegimenGeneral/Prestaciones/Incapacidadpermanen28700/CuantiaAbono/42804" TargetMode="External"/><Relationship Id="rId12" Type="http://schemas.openxmlformats.org/officeDocument/2006/relationships/hyperlink" Target="http://www.seg-social.es/Internet_1/Trabajadores/PrestacionesPension10935/Incapacidadpermanen10960/RegimenGeneral/Prestaciones/Incapacidadpermanen28700/CuantiaAbono/ssNODELINK/28472"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seg-social.es/Internet_1/Trabajadores/PrestacionesPension10935/Incapacidadpermanen10960/RegimenGeneral/Prestaciones/Incapacidadpermanen28700/CuantiaAbono/42804" TargetMode="External"/><Relationship Id="rId11" Type="http://schemas.openxmlformats.org/officeDocument/2006/relationships/hyperlink" Target="http://www.seg-social.es/Internet_1/Trabajadores/PrestacionesPension10935/Incapacidadpermanen10960/RegimenGeneral/Prestaciones/Incapacidadpermanen28700/CuantiaAbono/ssLINK/40827" TargetMode="External"/><Relationship Id="rId5" Type="http://schemas.openxmlformats.org/officeDocument/2006/relationships/hyperlink" Target="http://www.seg-social.es/Internet_1/Trabajadores/PrestacionesPension10935/Incapacidadpermanen10960/RegimenGeneral/Prestaciones/Incapacidadpermanen28700/CuantiaAbono/42804" TargetMode="External"/><Relationship Id="rId15" Type="http://schemas.openxmlformats.org/officeDocument/2006/relationships/fontTable" Target="fontTable.xml"/><Relationship Id="rId10"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hyperlink" Target="http://www.seg-social.es/Internet_1/Trabajadores/PrestacionesPension10935/Incapacidadpermanen10960/RegimenGeneral/Prestaciones/Incapacidadpermanen28700/CuantiaAbono/42804" TargetMode="External"/><Relationship Id="rId14" Type="http://schemas.openxmlformats.org/officeDocument/2006/relationships/hyperlink" Target="http://www.seg-social.es/Internet_1/Trabajadores/PrestacionesPension10935/Incapacidadpermanen10960/RegimenGeneral/Prestaciones/Incapacidadpermanen28700/CuantiaAbono/ssLINK/30437"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2580</Words>
  <Characters>14194</Characters>
  <Application>Microsoft Office Word</Application>
  <DocSecurity>0</DocSecurity>
  <Lines>118</Lines>
  <Paragraphs>33</Paragraphs>
  <ScaleCrop>false</ScaleCrop>
  <Company>Hewlett-Packard</Company>
  <LinksUpToDate>false</LinksUpToDate>
  <CharactersWithSpaces>16741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dc:creator>
  <cp:keywords/>
  <dc:description/>
  <cp:lastModifiedBy>jc</cp:lastModifiedBy>
  <cp:revision>4</cp:revision>
  <dcterms:created xsi:type="dcterms:W3CDTF">2014-11-03T17:58:00Z</dcterms:created>
  <dcterms:modified xsi:type="dcterms:W3CDTF">2014-12-18T18:53:00Z</dcterms:modified>
</cp:coreProperties>
</file>