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7429C" w:rsidRPr="0007429C" w:rsidRDefault="0007429C" w:rsidP="0007429C">
      <w:pPr>
        <w:shd w:val="clear" w:color="auto" w:fill="FFFFFF"/>
        <w:spacing w:after="150" w:line="570" w:lineRule="atLeast"/>
        <w:textAlignment w:val="baseline"/>
        <w:outlineLvl w:val="0"/>
        <w:rPr>
          <w:rFonts w:ascii="Georgia" w:eastAsia="Times New Roman" w:hAnsi="Georgia" w:cs="Arial"/>
          <w:color w:val="464545"/>
          <w:kern w:val="36"/>
          <w:sz w:val="56"/>
          <w:szCs w:val="56"/>
          <w:u w:val="single"/>
          <w:lang w:eastAsia="es-ES"/>
        </w:rPr>
      </w:pPr>
      <w:r w:rsidRPr="0007429C">
        <w:rPr>
          <w:rFonts w:ascii="Georgia" w:eastAsia="Times New Roman" w:hAnsi="Georgia" w:cs="Arial"/>
          <w:color w:val="464545"/>
          <w:kern w:val="36"/>
          <w:sz w:val="56"/>
          <w:szCs w:val="56"/>
          <w:u w:val="single"/>
          <w:lang w:eastAsia="es-ES"/>
        </w:rPr>
        <w:t>El gasto en pensiones termina 2014 con el menor avance en diez años</w:t>
      </w:r>
    </w:p>
    <w:p w:rsidR="0007429C" w:rsidRDefault="0007429C" w:rsidP="0007429C">
      <w:pPr>
        <w:shd w:val="clear" w:color="auto" w:fill="FFFFFF"/>
        <w:spacing w:after="0" w:line="195" w:lineRule="atLeast"/>
        <w:ind w:right="135"/>
        <w:textAlignment w:val="baseline"/>
        <w:rPr>
          <w:rFonts w:ascii="Georgia" w:eastAsia="Times New Roman" w:hAnsi="Georgia" w:cs="Arial"/>
          <w:b/>
          <w:caps/>
          <w:color w:val="8B8B8B"/>
          <w:sz w:val="20"/>
          <w:szCs w:val="20"/>
          <w:lang w:eastAsia="es-ES"/>
        </w:rPr>
      </w:pPr>
    </w:p>
    <w:p w:rsidR="0007429C" w:rsidRPr="0007429C" w:rsidRDefault="0007429C" w:rsidP="0007429C">
      <w:pPr>
        <w:shd w:val="clear" w:color="auto" w:fill="FFFFFF"/>
        <w:spacing w:after="0" w:line="195" w:lineRule="atLeast"/>
        <w:ind w:right="135"/>
        <w:textAlignment w:val="baseline"/>
        <w:rPr>
          <w:rFonts w:ascii="Georgia" w:eastAsia="Times New Roman" w:hAnsi="Georgia" w:cs="Arial"/>
          <w:b/>
          <w:caps/>
          <w:color w:val="8B8B8B"/>
          <w:sz w:val="20"/>
          <w:szCs w:val="20"/>
          <w:lang w:eastAsia="es-ES"/>
        </w:rPr>
      </w:pPr>
      <w:hyperlink r:id="rId5" w:tooltip="Ver todas las noticias de Raquel Pascual Cortés" w:history="1">
        <w:r w:rsidRPr="0007429C">
          <w:rPr>
            <w:rFonts w:ascii="inherit" w:eastAsia="Times New Roman" w:hAnsi="inherit" w:cs="Arial"/>
            <w:b/>
            <w:caps/>
            <w:color w:val="8B8B8B"/>
            <w:sz w:val="20"/>
            <w:szCs w:val="20"/>
            <w:lang w:eastAsia="es-ES"/>
          </w:rPr>
          <w:t>RAQUEL PASCUAL CORTÉS</w:t>
        </w:r>
      </w:hyperlink>
      <w:r w:rsidRPr="0007429C">
        <w:rPr>
          <w:rFonts w:ascii="Georgia" w:eastAsia="Times New Roman" w:hAnsi="Georgia" w:cs="Arial"/>
          <w:b/>
          <w:caps/>
          <w:color w:val="8B8B8B"/>
          <w:sz w:val="20"/>
          <w:szCs w:val="20"/>
          <w:lang w:eastAsia="es-ES"/>
        </w:rPr>
        <w:t xml:space="preserve">, Cinco dias </w:t>
      </w:r>
    </w:p>
    <w:p w:rsidR="0007429C" w:rsidRPr="0007429C" w:rsidRDefault="0007429C" w:rsidP="0007429C">
      <w:pPr>
        <w:pBdr>
          <w:left w:val="single" w:sz="6" w:space="7" w:color="8B8B8B"/>
        </w:pBdr>
        <w:shd w:val="clear" w:color="auto" w:fill="FFFFFF"/>
        <w:spacing w:after="0" w:line="195" w:lineRule="atLeast"/>
        <w:ind w:right="135"/>
        <w:textAlignment w:val="baseline"/>
        <w:rPr>
          <w:rFonts w:ascii="Georgia" w:eastAsia="Times New Roman" w:hAnsi="Georgia" w:cs="Arial"/>
          <w:b/>
          <w:caps/>
          <w:color w:val="8B8B8B"/>
          <w:sz w:val="20"/>
          <w:szCs w:val="20"/>
          <w:lang w:eastAsia="es-ES"/>
        </w:rPr>
      </w:pPr>
      <w:r w:rsidRPr="0007429C">
        <w:rPr>
          <w:rFonts w:ascii="Georgia" w:eastAsia="Times New Roman" w:hAnsi="Georgia" w:cs="Arial"/>
          <w:b/>
          <w:caps/>
          <w:color w:val="8B8B8B"/>
          <w:sz w:val="20"/>
          <w:szCs w:val="20"/>
          <w:lang w:eastAsia="es-ES"/>
        </w:rPr>
        <w:t>MADRID</w:t>
      </w:r>
    </w:p>
    <w:p w:rsidR="0007429C" w:rsidRPr="0007429C" w:rsidRDefault="0007429C" w:rsidP="0007429C">
      <w:pPr>
        <w:pBdr>
          <w:left w:val="single" w:sz="6" w:space="7" w:color="8B8B8B"/>
        </w:pBdr>
        <w:shd w:val="clear" w:color="auto" w:fill="FFFFFF"/>
        <w:spacing w:after="75" w:line="195" w:lineRule="atLeast"/>
        <w:ind w:right="135"/>
        <w:textAlignment w:val="baseline"/>
        <w:rPr>
          <w:rFonts w:ascii="Georgia" w:eastAsia="Times New Roman" w:hAnsi="Georgia" w:cs="Arial"/>
          <w:b/>
          <w:caps/>
          <w:color w:val="8B8B8B"/>
          <w:sz w:val="20"/>
          <w:szCs w:val="20"/>
          <w:lang w:eastAsia="es-ES"/>
        </w:rPr>
      </w:pPr>
      <w:hyperlink r:id="rId6" w:history="1">
        <w:r w:rsidRPr="0007429C">
          <w:rPr>
            <w:rFonts w:ascii="inherit" w:eastAsia="Times New Roman" w:hAnsi="inherit" w:cs="Arial"/>
            <w:b/>
            <w:caps/>
            <w:color w:val="8B8B8B"/>
            <w:sz w:val="20"/>
            <w:szCs w:val="20"/>
            <w:lang w:eastAsia="es-ES"/>
          </w:rPr>
          <w:t>23-12-2014 </w:t>
        </w:r>
        <w:r w:rsidRPr="0007429C">
          <w:rPr>
            <w:rFonts w:ascii="inherit" w:eastAsia="Times New Roman" w:hAnsi="inherit" w:cs="Arial"/>
            <w:b/>
            <w:caps/>
            <w:color w:val="008EA5"/>
            <w:sz w:val="20"/>
            <w:szCs w:val="20"/>
            <w:lang w:eastAsia="es-ES"/>
          </w:rPr>
          <w:t>11:38</w:t>
        </w:r>
      </w:hyperlink>
    </w:p>
    <w:p w:rsidR="0007429C" w:rsidRPr="0007429C" w:rsidRDefault="0007429C" w:rsidP="0007429C">
      <w:pPr>
        <w:shd w:val="clear" w:color="auto" w:fill="FFFFFF"/>
        <w:spacing w:line="150" w:lineRule="atLeast"/>
        <w:textAlignment w:val="baseline"/>
        <w:rPr>
          <w:rFonts w:ascii="inherit" w:eastAsia="Times New Roman" w:hAnsi="inherit" w:cs="Arial"/>
          <w:color w:val="000000"/>
          <w:sz w:val="15"/>
          <w:szCs w:val="15"/>
          <w:lang w:eastAsia="es-ES"/>
        </w:rPr>
      </w:pPr>
      <w:r>
        <w:rPr>
          <w:rFonts w:ascii="inherit" w:eastAsia="Times New Roman" w:hAnsi="inherit" w:cs="Arial"/>
          <w:noProof/>
          <w:color w:val="000000"/>
          <w:sz w:val="15"/>
          <w:szCs w:val="15"/>
          <w:lang w:eastAsia="es-ES"/>
        </w:rPr>
        <w:drawing>
          <wp:inline distT="0" distB="0" distL="0" distR="0">
            <wp:extent cx="2381250" cy="1790700"/>
            <wp:effectExtent l="19050" t="0" r="0" b="0"/>
            <wp:docPr id="1" name="Imagen 1" descr="El gasto en pensiones termina 2014 con el menor avance en diez añ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l gasto en pensiones termina 2014 con el menor avance en diez años"/>
                    <pic:cNvPicPr>
                      <a:picLocks noChangeAspect="1" noChangeArrowheads="1"/>
                    </pic:cNvPicPr>
                  </pic:nvPicPr>
                  <pic:blipFill>
                    <a:blip r:embed="rId7" cstate="print"/>
                    <a:srcRect/>
                    <a:stretch>
                      <a:fillRect/>
                    </a:stretch>
                  </pic:blipFill>
                  <pic:spPr bwMode="auto">
                    <a:xfrm>
                      <a:off x="0" y="0"/>
                      <a:ext cx="2381250" cy="1790700"/>
                    </a:xfrm>
                    <a:prstGeom prst="rect">
                      <a:avLst/>
                    </a:prstGeom>
                    <a:noFill/>
                    <a:ln w="9525">
                      <a:noFill/>
                      <a:miter lim="800000"/>
                      <a:headEnd/>
                      <a:tailEnd/>
                    </a:ln>
                  </pic:spPr>
                </pic:pic>
              </a:graphicData>
            </a:graphic>
          </wp:inline>
        </w:drawing>
      </w:r>
    </w:p>
    <w:p w:rsidR="0007429C" w:rsidRDefault="0007429C" w:rsidP="0007429C">
      <w:pPr>
        <w:shd w:val="clear" w:color="auto" w:fill="FFFFFF"/>
        <w:spacing w:after="0" w:line="285" w:lineRule="atLeast"/>
        <w:textAlignment w:val="baseline"/>
        <w:rPr>
          <w:rFonts w:ascii="Arial" w:eastAsia="Times New Roman" w:hAnsi="Arial" w:cs="Arial"/>
          <w:color w:val="464545"/>
          <w:sz w:val="21"/>
          <w:szCs w:val="21"/>
          <w:lang w:eastAsia="es-ES"/>
        </w:rPr>
      </w:pPr>
    </w:p>
    <w:p w:rsidR="0007429C" w:rsidRPr="0007429C" w:rsidRDefault="0007429C" w:rsidP="0007429C">
      <w:pPr>
        <w:shd w:val="clear" w:color="auto" w:fill="FFFFFF"/>
        <w:spacing w:after="0" w:line="285" w:lineRule="atLeast"/>
        <w:textAlignment w:val="baseline"/>
        <w:rPr>
          <w:rFonts w:ascii="Arial" w:eastAsia="Times New Roman" w:hAnsi="Arial" w:cs="Arial"/>
          <w:color w:val="464545"/>
          <w:sz w:val="21"/>
          <w:szCs w:val="21"/>
          <w:lang w:eastAsia="es-ES"/>
        </w:rPr>
      </w:pPr>
      <w:r w:rsidRPr="0007429C">
        <w:rPr>
          <w:rFonts w:ascii="Arial" w:eastAsia="Times New Roman" w:hAnsi="Arial" w:cs="Arial"/>
          <w:color w:val="464545"/>
          <w:sz w:val="21"/>
          <w:szCs w:val="21"/>
          <w:lang w:eastAsia="es-ES"/>
        </w:rPr>
        <w:t>En 2014 el sistema de pensiones registró varios récord. Por primera vez, en junio pasado el gasto de la nómina mensual superó los 8.000 millones de euros. Un mes más tarde, los jubilados pasaban a ser</w:t>
      </w:r>
      <w:r w:rsidRPr="0007429C">
        <w:rPr>
          <w:rFonts w:ascii="Arial" w:eastAsia="Times New Roman" w:hAnsi="Arial" w:cs="Arial"/>
          <w:color w:val="464545"/>
          <w:sz w:val="21"/>
          <w:lang w:eastAsia="es-ES"/>
        </w:rPr>
        <w:t> </w:t>
      </w:r>
      <w:proofErr w:type="spellStart"/>
      <w:r w:rsidRPr="0007429C">
        <w:rPr>
          <w:rFonts w:ascii="inherit" w:eastAsia="Times New Roman" w:hAnsi="inherit" w:cs="Arial"/>
          <w:i/>
          <w:iCs/>
          <w:color w:val="464545"/>
          <w:sz w:val="21"/>
          <w:lang w:eastAsia="es-ES"/>
        </w:rPr>
        <w:t>mileuristas</w:t>
      </w:r>
      <w:proofErr w:type="spellEnd"/>
      <w:r w:rsidRPr="0007429C">
        <w:rPr>
          <w:rFonts w:ascii="Arial" w:eastAsia="Times New Roman" w:hAnsi="Arial" w:cs="Arial"/>
          <w:color w:val="464545"/>
          <w:sz w:val="21"/>
          <w:szCs w:val="21"/>
          <w:lang w:eastAsia="es-ES"/>
        </w:rPr>
        <w:t>, ya que la pensión media de jubilación superaba también por primera vez los 1.000 euros al mes.</w:t>
      </w:r>
    </w:p>
    <w:p w:rsidR="0007429C" w:rsidRPr="0007429C" w:rsidRDefault="0007429C" w:rsidP="0007429C">
      <w:pPr>
        <w:shd w:val="clear" w:color="auto" w:fill="FFFFFF"/>
        <w:spacing w:after="0" w:line="285" w:lineRule="atLeast"/>
        <w:textAlignment w:val="baseline"/>
        <w:rPr>
          <w:rFonts w:ascii="Arial" w:eastAsia="Times New Roman" w:hAnsi="Arial" w:cs="Arial"/>
          <w:color w:val="464545"/>
          <w:sz w:val="21"/>
          <w:szCs w:val="21"/>
          <w:lang w:eastAsia="es-ES"/>
        </w:rPr>
      </w:pPr>
      <w:r w:rsidRPr="0007429C">
        <w:rPr>
          <w:rFonts w:ascii="Arial" w:eastAsia="Times New Roman" w:hAnsi="Arial" w:cs="Arial"/>
          <w:color w:val="464545"/>
          <w:sz w:val="21"/>
          <w:szCs w:val="21"/>
          <w:lang w:eastAsia="es-ES"/>
        </w:rPr>
        <w:t>A pesar de estos hitos, este año el gasto en pensiones registró el menor avance anual de los últimos diez años, con una nómina anual de 96.170 millones de euros, un 3,2% más que el año anterior. Solo en diciembre, el avance interanual fue del 3,1% respecto al mismo mes del año anterior, según el dato publicado hoy por el Ministerio de Empleo y Seguridad Social. De esta forma, este gasto ha caído en 1,7 puntos desde el incremento del 4,8% registrado por la nómina de diciembre de 2013. Si se compara con lo que crecía la nómina de las pensiones en 2004 (6,5%) el recorte ha sido de 3,4 puntos porcentuales.</w:t>
      </w:r>
    </w:p>
    <w:p w:rsidR="0007429C" w:rsidRPr="0007429C" w:rsidRDefault="0007429C" w:rsidP="0007429C">
      <w:pPr>
        <w:shd w:val="clear" w:color="auto" w:fill="FFFFFF"/>
        <w:spacing w:after="0" w:line="285" w:lineRule="atLeast"/>
        <w:textAlignment w:val="baseline"/>
        <w:rPr>
          <w:rFonts w:ascii="Arial" w:eastAsia="Times New Roman" w:hAnsi="Arial" w:cs="Arial"/>
          <w:color w:val="464545"/>
          <w:sz w:val="21"/>
          <w:szCs w:val="21"/>
          <w:lang w:eastAsia="es-ES"/>
        </w:rPr>
      </w:pPr>
      <w:r w:rsidRPr="0007429C">
        <w:rPr>
          <w:rFonts w:ascii="Arial" w:eastAsia="Times New Roman" w:hAnsi="Arial" w:cs="Arial"/>
          <w:color w:val="464545"/>
          <w:sz w:val="21"/>
          <w:szCs w:val="21"/>
          <w:lang w:eastAsia="es-ES"/>
        </w:rPr>
        <w:t>¿A qué se debe este freno en el avance del gasto? Fundamentalmente a la aplicación de las últimas reformas del sistema de pensiones que han retrasado la edad legal de jubilación --este año fijada en 65 años y dos meses--; han modificado el cálculo de la pensión teniendo en cuenta más años cotizados; y al endurecimiento del acceso a la jubilación anticipada y parcial, que por segundo año consecutivo ha seguido disminuyendo este tipo de retiro.</w:t>
      </w:r>
    </w:p>
    <w:p w:rsidR="0007429C" w:rsidRPr="0007429C" w:rsidRDefault="0007429C" w:rsidP="0007429C">
      <w:pPr>
        <w:shd w:val="clear" w:color="auto" w:fill="FFFFFF"/>
        <w:spacing w:after="0" w:line="285" w:lineRule="atLeast"/>
        <w:textAlignment w:val="baseline"/>
        <w:rPr>
          <w:rFonts w:ascii="Arial" w:eastAsia="Times New Roman" w:hAnsi="Arial" w:cs="Arial"/>
          <w:color w:val="464545"/>
          <w:sz w:val="21"/>
          <w:szCs w:val="21"/>
          <w:lang w:eastAsia="es-ES"/>
        </w:rPr>
      </w:pPr>
      <w:r w:rsidRPr="0007429C">
        <w:rPr>
          <w:rFonts w:ascii="Arial" w:eastAsia="Times New Roman" w:hAnsi="Arial" w:cs="Arial"/>
          <w:color w:val="464545"/>
          <w:sz w:val="21"/>
          <w:szCs w:val="21"/>
          <w:lang w:eastAsia="es-ES"/>
        </w:rPr>
        <w:t xml:space="preserve">Dicho esto, las cifras </w:t>
      </w:r>
      <w:proofErr w:type="spellStart"/>
      <w:r w:rsidRPr="0007429C">
        <w:rPr>
          <w:rFonts w:ascii="Arial" w:eastAsia="Times New Roman" w:hAnsi="Arial" w:cs="Arial"/>
          <w:color w:val="464545"/>
          <w:sz w:val="21"/>
          <w:szCs w:val="21"/>
          <w:lang w:eastAsia="es-ES"/>
        </w:rPr>
        <w:t>estadisticas</w:t>
      </w:r>
      <w:proofErr w:type="spellEnd"/>
      <w:r w:rsidRPr="0007429C">
        <w:rPr>
          <w:rFonts w:ascii="Arial" w:eastAsia="Times New Roman" w:hAnsi="Arial" w:cs="Arial"/>
          <w:color w:val="464545"/>
          <w:sz w:val="21"/>
          <w:szCs w:val="21"/>
          <w:lang w:eastAsia="es-ES"/>
        </w:rPr>
        <w:t xml:space="preserve"> publicadas indican que a fecha de hoy, la </w:t>
      </w:r>
      <w:proofErr w:type="spellStart"/>
      <w:r w:rsidRPr="0007429C">
        <w:rPr>
          <w:rFonts w:ascii="Arial" w:eastAsia="Times New Roman" w:hAnsi="Arial" w:cs="Arial"/>
          <w:color w:val="464545"/>
          <w:sz w:val="21"/>
          <w:szCs w:val="21"/>
          <w:lang w:eastAsia="es-ES"/>
        </w:rPr>
        <w:t>pension</w:t>
      </w:r>
      <w:proofErr w:type="spellEnd"/>
      <w:r w:rsidRPr="0007429C">
        <w:rPr>
          <w:rFonts w:ascii="Arial" w:eastAsia="Times New Roman" w:hAnsi="Arial" w:cs="Arial"/>
          <w:color w:val="464545"/>
          <w:sz w:val="21"/>
          <w:szCs w:val="21"/>
          <w:lang w:eastAsia="es-ES"/>
        </w:rPr>
        <w:t xml:space="preserve"> media del sistema es de 877 euros al mes; la media de jubilación, de 1.008 euros mensuales; la de incapacidad permanente, de 918 euros al mes; la de viudedad, 626 euros; la de orfandad, 368 euros y la de en favor de </w:t>
      </w:r>
      <w:proofErr w:type="spellStart"/>
      <w:r w:rsidRPr="0007429C">
        <w:rPr>
          <w:rFonts w:ascii="Arial" w:eastAsia="Times New Roman" w:hAnsi="Arial" w:cs="Arial"/>
          <w:color w:val="464545"/>
          <w:sz w:val="21"/>
          <w:szCs w:val="21"/>
          <w:lang w:eastAsia="es-ES"/>
        </w:rPr>
        <w:t>familaries</w:t>
      </w:r>
      <w:proofErr w:type="spellEnd"/>
      <w:r w:rsidRPr="0007429C">
        <w:rPr>
          <w:rFonts w:ascii="Arial" w:eastAsia="Times New Roman" w:hAnsi="Arial" w:cs="Arial"/>
          <w:color w:val="464545"/>
          <w:sz w:val="21"/>
          <w:szCs w:val="21"/>
          <w:lang w:eastAsia="es-ES"/>
        </w:rPr>
        <w:t>, 511 euros al mes. Esto supuso un incremento medio de estas cuantías mensuales del 1,7%.</w:t>
      </w:r>
    </w:p>
    <w:p w:rsidR="0007429C" w:rsidRPr="0007429C" w:rsidRDefault="0007429C" w:rsidP="0007429C">
      <w:pPr>
        <w:shd w:val="clear" w:color="auto" w:fill="FFFFFF"/>
        <w:spacing w:after="0" w:line="285" w:lineRule="atLeast"/>
        <w:textAlignment w:val="baseline"/>
        <w:rPr>
          <w:rFonts w:ascii="Arial" w:eastAsia="Times New Roman" w:hAnsi="Arial" w:cs="Arial"/>
          <w:color w:val="464545"/>
          <w:sz w:val="21"/>
          <w:szCs w:val="21"/>
          <w:lang w:eastAsia="es-ES"/>
        </w:rPr>
      </w:pPr>
      <w:r w:rsidRPr="0007429C">
        <w:rPr>
          <w:rFonts w:ascii="Arial" w:eastAsia="Times New Roman" w:hAnsi="Arial" w:cs="Arial"/>
          <w:color w:val="464545"/>
          <w:sz w:val="21"/>
          <w:szCs w:val="21"/>
          <w:lang w:eastAsia="es-ES"/>
        </w:rPr>
        <w:t xml:space="preserve">Como es habitual, la pensión media de jubilación más alta se registró en el País Vasco (1.245 euros al mes) y en concreto en Vizcaya (1.275 euros mensuales), seguidas de Asturias (1.230,94 euros al mes. Esto se debe al impacto de los planes de reconversión </w:t>
      </w:r>
      <w:r w:rsidRPr="0007429C">
        <w:rPr>
          <w:rFonts w:ascii="Arial" w:eastAsia="Times New Roman" w:hAnsi="Arial" w:cs="Arial"/>
          <w:color w:val="464545"/>
          <w:sz w:val="21"/>
          <w:szCs w:val="21"/>
          <w:lang w:eastAsia="es-ES"/>
        </w:rPr>
        <w:lastRenderedPageBreak/>
        <w:t>industrial y minera, que incluyen pensiones superiores a la media nacional de jubilación (1.007,69 euros).</w:t>
      </w:r>
    </w:p>
    <w:p w:rsidR="0007429C" w:rsidRPr="0007429C" w:rsidRDefault="0007429C" w:rsidP="0007429C">
      <w:pPr>
        <w:shd w:val="clear" w:color="auto" w:fill="FFFFFF"/>
        <w:spacing w:after="0" w:line="285" w:lineRule="atLeast"/>
        <w:textAlignment w:val="baseline"/>
        <w:rPr>
          <w:rFonts w:ascii="Arial" w:eastAsia="Times New Roman" w:hAnsi="Arial" w:cs="Arial"/>
          <w:color w:val="464545"/>
          <w:sz w:val="21"/>
          <w:szCs w:val="21"/>
          <w:lang w:eastAsia="es-ES"/>
        </w:rPr>
      </w:pPr>
      <w:r w:rsidRPr="0007429C">
        <w:rPr>
          <w:rFonts w:ascii="Arial" w:eastAsia="Times New Roman" w:hAnsi="Arial" w:cs="Arial"/>
          <w:color w:val="464545"/>
          <w:sz w:val="21"/>
          <w:szCs w:val="21"/>
          <w:lang w:eastAsia="es-ES"/>
        </w:rPr>
        <w:t>Cataluña y Andalucía son las comunidades que más pensiones contributivas concentran, con el 17,9% y el 16% del total nacional, respectivamente. Mientras que en el lado contrario La Rioja, con el 0,7% de todas las prestaciones y Navarra, con el 1,4% son las regiones que menos pensiones pagan.</w:t>
      </w:r>
    </w:p>
    <w:p w:rsidR="002B04C1" w:rsidRDefault="002B04C1"/>
    <w:sectPr w:rsidR="002B04C1" w:rsidSect="002B04C1">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inherit">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075197C"/>
    <w:multiLevelType w:val="multilevel"/>
    <w:tmpl w:val="0AC0A9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07429C"/>
    <w:rsid w:val="0007429C"/>
    <w:rsid w:val="002B04C1"/>
    <w:rsid w:val="009160E7"/>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04C1"/>
  </w:style>
  <w:style w:type="paragraph" w:styleId="Ttulo1">
    <w:name w:val="heading 1"/>
    <w:basedOn w:val="Normal"/>
    <w:link w:val="Ttulo1Car"/>
    <w:uiPriority w:val="9"/>
    <w:qFormat/>
    <w:rsid w:val="0007429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07429C"/>
    <w:rPr>
      <w:rFonts w:ascii="Times New Roman" w:eastAsia="Times New Roman" w:hAnsi="Times New Roman" w:cs="Times New Roman"/>
      <w:b/>
      <w:bCs/>
      <w:kern w:val="36"/>
      <w:sz w:val="48"/>
      <w:szCs w:val="48"/>
      <w:lang w:eastAsia="es-ES"/>
    </w:rPr>
  </w:style>
  <w:style w:type="paragraph" w:customStyle="1" w:styleId="autor">
    <w:name w:val="autor"/>
    <w:basedOn w:val="Normal"/>
    <w:rsid w:val="0007429C"/>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styleId="Hipervnculo">
    <w:name w:val="Hyperlink"/>
    <w:basedOn w:val="Fuentedeprrafopredeter"/>
    <w:uiPriority w:val="99"/>
    <w:semiHidden/>
    <w:unhideWhenUsed/>
    <w:rsid w:val="0007429C"/>
    <w:rPr>
      <w:color w:val="0000FF"/>
      <w:u w:val="single"/>
    </w:rPr>
  </w:style>
  <w:style w:type="paragraph" w:customStyle="1" w:styleId="lugar">
    <w:name w:val="lugar"/>
    <w:basedOn w:val="Normal"/>
    <w:rsid w:val="0007429C"/>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customStyle="1" w:styleId="fecha">
    <w:name w:val="fecha"/>
    <w:basedOn w:val="Normal"/>
    <w:rsid w:val="0007429C"/>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customStyle="1" w:styleId="apple-converted-space">
    <w:name w:val="apple-converted-space"/>
    <w:basedOn w:val="Fuentedeprrafopredeter"/>
    <w:rsid w:val="0007429C"/>
  </w:style>
  <w:style w:type="character" w:customStyle="1" w:styleId="contador">
    <w:name w:val="contador"/>
    <w:basedOn w:val="Fuentedeprrafopredeter"/>
    <w:rsid w:val="0007429C"/>
  </w:style>
  <w:style w:type="paragraph" w:styleId="NormalWeb">
    <w:name w:val="Normal (Web)"/>
    <w:basedOn w:val="Normal"/>
    <w:uiPriority w:val="99"/>
    <w:semiHidden/>
    <w:unhideWhenUsed/>
    <w:rsid w:val="0007429C"/>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customStyle="1" w:styleId="pie-foto">
    <w:name w:val="pie-foto"/>
    <w:basedOn w:val="Normal"/>
    <w:rsid w:val="0007429C"/>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customStyle="1" w:styleId="firma">
    <w:name w:val="firma"/>
    <w:basedOn w:val="Fuentedeprrafopredeter"/>
    <w:rsid w:val="0007429C"/>
  </w:style>
  <w:style w:type="character" w:styleId="nfasis">
    <w:name w:val="Emphasis"/>
    <w:basedOn w:val="Fuentedeprrafopredeter"/>
    <w:uiPriority w:val="20"/>
    <w:qFormat/>
    <w:rsid w:val="0007429C"/>
    <w:rPr>
      <w:i/>
      <w:iCs/>
    </w:rPr>
  </w:style>
  <w:style w:type="character" w:customStyle="1" w:styleId="flechas">
    <w:name w:val="flechas"/>
    <w:basedOn w:val="Fuentedeprrafopredeter"/>
    <w:rsid w:val="0007429C"/>
  </w:style>
  <w:style w:type="character" w:customStyle="1" w:styleId="flechas2">
    <w:name w:val="flechas2"/>
    <w:basedOn w:val="Fuentedeprrafopredeter"/>
    <w:rsid w:val="0007429C"/>
  </w:style>
  <w:style w:type="character" w:customStyle="1" w:styleId="estilotext1">
    <w:name w:val="estilo_text1"/>
    <w:basedOn w:val="Fuentedeprrafopredeter"/>
    <w:rsid w:val="0007429C"/>
  </w:style>
  <w:style w:type="character" w:customStyle="1" w:styleId="estilotext4">
    <w:name w:val="estilo_text4"/>
    <w:basedOn w:val="Fuentedeprrafopredeter"/>
    <w:rsid w:val="0007429C"/>
  </w:style>
  <w:style w:type="paragraph" w:styleId="Textodeglobo">
    <w:name w:val="Balloon Text"/>
    <w:basedOn w:val="Normal"/>
    <w:link w:val="TextodegloboCar"/>
    <w:uiPriority w:val="99"/>
    <w:semiHidden/>
    <w:unhideWhenUsed/>
    <w:rsid w:val="0007429C"/>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07429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901016853">
      <w:bodyDiv w:val="1"/>
      <w:marLeft w:val="0"/>
      <w:marRight w:val="0"/>
      <w:marTop w:val="0"/>
      <w:marBottom w:val="0"/>
      <w:divBdr>
        <w:top w:val="none" w:sz="0" w:space="0" w:color="auto"/>
        <w:left w:val="none" w:sz="0" w:space="0" w:color="auto"/>
        <w:bottom w:val="none" w:sz="0" w:space="0" w:color="auto"/>
        <w:right w:val="none" w:sz="0" w:space="0" w:color="auto"/>
      </w:divBdr>
      <w:divsChild>
        <w:div w:id="540098793">
          <w:marLeft w:val="0"/>
          <w:marRight w:val="0"/>
          <w:marTop w:val="240"/>
          <w:marBottom w:val="120"/>
          <w:divBdr>
            <w:top w:val="none" w:sz="0" w:space="0" w:color="auto"/>
            <w:left w:val="none" w:sz="0" w:space="0" w:color="auto"/>
            <w:bottom w:val="none" w:sz="0" w:space="0" w:color="auto"/>
            <w:right w:val="none" w:sz="0" w:space="0" w:color="auto"/>
          </w:divBdr>
        </w:div>
        <w:div w:id="1135172909">
          <w:marLeft w:val="0"/>
          <w:marRight w:val="0"/>
          <w:marTop w:val="0"/>
          <w:marBottom w:val="75"/>
          <w:divBdr>
            <w:top w:val="single" w:sz="6" w:space="5" w:color="DBDBDB"/>
            <w:left w:val="none" w:sz="0" w:space="0" w:color="auto"/>
            <w:bottom w:val="single" w:sz="6" w:space="5" w:color="DBDBDB"/>
            <w:right w:val="none" w:sz="0" w:space="0" w:color="auto"/>
          </w:divBdr>
        </w:div>
        <w:div w:id="1686714301">
          <w:marLeft w:val="0"/>
          <w:marRight w:val="0"/>
          <w:marTop w:val="0"/>
          <w:marBottom w:val="0"/>
          <w:divBdr>
            <w:top w:val="none" w:sz="0" w:space="0" w:color="auto"/>
            <w:left w:val="none" w:sz="0" w:space="0" w:color="auto"/>
            <w:bottom w:val="none" w:sz="0" w:space="0" w:color="auto"/>
            <w:right w:val="none" w:sz="0" w:space="0" w:color="auto"/>
          </w:divBdr>
          <w:divsChild>
            <w:div w:id="602035838">
              <w:marLeft w:val="0"/>
              <w:marRight w:val="180"/>
              <w:marTop w:val="0"/>
              <w:marBottom w:val="75"/>
              <w:divBdr>
                <w:top w:val="none" w:sz="0" w:space="0" w:color="auto"/>
                <w:left w:val="none" w:sz="0" w:space="0" w:color="auto"/>
                <w:bottom w:val="none" w:sz="0" w:space="0" w:color="auto"/>
                <w:right w:val="none" w:sz="0" w:space="0" w:color="auto"/>
              </w:divBdr>
            </w:div>
            <w:div w:id="993140315">
              <w:marLeft w:val="0"/>
              <w:marRight w:val="180"/>
              <w:marTop w:val="0"/>
              <w:marBottom w:val="75"/>
              <w:divBdr>
                <w:top w:val="none" w:sz="0" w:space="0" w:color="auto"/>
                <w:left w:val="none" w:sz="0" w:space="0" w:color="auto"/>
                <w:bottom w:val="none" w:sz="0" w:space="0" w:color="auto"/>
                <w:right w:val="none" w:sz="0" w:space="0" w:color="auto"/>
              </w:divBdr>
            </w:div>
            <w:div w:id="217867337">
              <w:marLeft w:val="0"/>
              <w:marRight w:val="180"/>
              <w:marTop w:val="0"/>
              <w:marBottom w:val="75"/>
              <w:divBdr>
                <w:top w:val="none" w:sz="0" w:space="0" w:color="auto"/>
                <w:left w:val="none" w:sz="0" w:space="0" w:color="auto"/>
                <w:bottom w:val="none" w:sz="0" w:space="0" w:color="auto"/>
                <w:right w:val="none" w:sz="0" w:space="0" w:color="auto"/>
              </w:divBdr>
            </w:div>
          </w:divsChild>
        </w:div>
        <w:div w:id="1153713268">
          <w:marLeft w:val="0"/>
          <w:marRight w:val="0"/>
          <w:marTop w:val="480"/>
          <w:marBottom w:val="360"/>
          <w:divBdr>
            <w:top w:val="none" w:sz="0" w:space="0" w:color="auto"/>
            <w:left w:val="none" w:sz="0" w:space="0" w:color="auto"/>
            <w:bottom w:val="none" w:sz="0" w:space="0" w:color="auto"/>
            <w:right w:val="none" w:sz="0" w:space="0" w:color="auto"/>
          </w:divBdr>
          <w:divsChild>
            <w:div w:id="1773895510">
              <w:marLeft w:val="0"/>
              <w:marRight w:val="0"/>
              <w:marTop w:val="0"/>
              <w:marBottom w:val="0"/>
              <w:divBdr>
                <w:top w:val="none" w:sz="0" w:space="0" w:color="auto"/>
                <w:left w:val="none" w:sz="0" w:space="0" w:color="auto"/>
                <w:bottom w:val="none" w:sz="0" w:space="0" w:color="auto"/>
                <w:right w:val="none" w:sz="0" w:space="0" w:color="auto"/>
              </w:divBdr>
            </w:div>
          </w:divsChild>
        </w:div>
        <w:div w:id="362173945">
          <w:marLeft w:val="0"/>
          <w:marRight w:val="225"/>
          <w:marTop w:val="0"/>
          <w:marBottom w:val="30"/>
          <w:divBdr>
            <w:top w:val="none" w:sz="0" w:space="0" w:color="auto"/>
            <w:left w:val="none" w:sz="0" w:space="0" w:color="auto"/>
            <w:bottom w:val="none" w:sz="0" w:space="0" w:color="auto"/>
            <w:right w:val="none" w:sz="0" w:space="0" w:color="auto"/>
          </w:divBdr>
          <w:divsChild>
            <w:div w:id="568463816">
              <w:marLeft w:val="0"/>
              <w:marRight w:val="0"/>
              <w:marTop w:val="0"/>
              <w:marBottom w:val="288"/>
              <w:divBdr>
                <w:top w:val="none" w:sz="0" w:space="0" w:color="auto"/>
                <w:left w:val="none" w:sz="0" w:space="0" w:color="auto"/>
                <w:bottom w:val="none" w:sz="0" w:space="0" w:color="auto"/>
                <w:right w:val="none" w:sz="0" w:space="0" w:color="auto"/>
              </w:divBdr>
            </w:div>
            <w:div w:id="712654396">
              <w:marLeft w:val="0"/>
              <w:marRight w:val="0"/>
              <w:marTop w:val="0"/>
              <w:marBottom w:val="75"/>
              <w:divBdr>
                <w:top w:val="none" w:sz="0" w:space="0" w:color="auto"/>
                <w:left w:val="none" w:sz="0" w:space="0" w:color="auto"/>
                <w:bottom w:val="single" w:sz="6" w:space="0" w:color="DBDBDB"/>
                <w:right w:val="none" w:sz="0" w:space="0" w:color="auto"/>
              </w:divBdr>
            </w:div>
          </w:divsChild>
        </w:div>
        <w:div w:id="1224829287">
          <w:marLeft w:val="0"/>
          <w:marRight w:val="0"/>
          <w:marTop w:val="0"/>
          <w:marBottom w:val="0"/>
          <w:divBdr>
            <w:top w:val="none" w:sz="0" w:space="0" w:color="auto"/>
            <w:left w:val="none" w:sz="0" w:space="0" w:color="auto"/>
            <w:bottom w:val="none" w:sz="0" w:space="0" w:color="auto"/>
            <w:right w:val="none" w:sz="0" w:space="0" w:color="auto"/>
          </w:divBdr>
        </w:div>
        <w:div w:id="1413430405">
          <w:marLeft w:val="0"/>
          <w:marRight w:val="0"/>
          <w:marTop w:val="525"/>
          <w:marBottom w:val="900"/>
          <w:divBdr>
            <w:top w:val="none" w:sz="0" w:space="0" w:color="auto"/>
            <w:left w:val="none" w:sz="0" w:space="0" w:color="auto"/>
            <w:bottom w:val="none" w:sz="0" w:space="0" w:color="auto"/>
            <w:right w:val="none" w:sz="0" w:space="0" w:color="auto"/>
          </w:divBdr>
          <w:divsChild>
            <w:div w:id="1041832016">
              <w:marLeft w:val="0"/>
              <w:marRight w:val="0"/>
              <w:marTop w:val="0"/>
              <w:marBottom w:val="150"/>
              <w:divBdr>
                <w:top w:val="none" w:sz="0" w:space="0" w:color="auto"/>
                <w:left w:val="none" w:sz="0" w:space="0" w:color="auto"/>
                <w:bottom w:val="none" w:sz="0" w:space="0" w:color="auto"/>
                <w:right w:val="none" w:sz="0" w:space="0" w:color="auto"/>
              </w:divBdr>
            </w:div>
          </w:divsChild>
        </w:div>
        <w:div w:id="243225173">
          <w:marLeft w:val="0"/>
          <w:marRight w:val="0"/>
          <w:marTop w:val="0"/>
          <w:marBottom w:val="0"/>
          <w:divBdr>
            <w:top w:val="none" w:sz="0" w:space="0" w:color="auto"/>
            <w:left w:val="none" w:sz="0" w:space="0" w:color="auto"/>
            <w:bottom w:val="none" w:sz="0" w:space="0" w:color="auto"/>
            <w:right w:val="none" w:sz="0" w:space="0" w:color="auto"/>
          </w:divBdr>
          <w:divsChild>
            <w:div w:id="1956012092">
              <w:marLeft w:val="0"/>
              <w:marRight w:val="0"/>
              <w:marTop w:val="0"/>
              <w:marBottom w:val="0"/>
              <w:divBdr>
                <w:top w:val="none" w:sz="0" w:space="0" w:color="auto"/>
                <w:left w:val="none" w:sz="0" w:space="0" w:color="auto"/>
                <w:bottom w:val="none" w:sz="0" w:space="0" w:color="auto"/>
                <w:right w:val="none" w:sz="0" w:space="0" w:color="auto"/>
              </w:divBdr>
              <w:divsChild>
                <w:div w:id="1515224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cincodias.com/tag/fecha/20141223" TargetMode="External"/><Relationship Id="rId5" Type="http://schemas.openxmlformats.org/officeDocument/2006/relationships/hyperlink" Target="http://cincodias.com/autor/raquel_pascual_cortes/a/"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420</Words>
  <Characters>2314</Characters>
  <Application>Microsoft Office Word</Application>
  <DocSecurity>0</DocSecurity>
  <Lines>19</Lines>
  <Paragraphs>5</Paragraphs>
  <ScaleCrop>false</ScaleCrop>
  <Company>Hewlett-Packard</Company>
  <LinksUpToDate>false</LinksUpToDate>
  <CharactersWithSpaces>2729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jc</dc:creator>
  <cp:keywords/>
  <dc:description/>
  <cp:lastModifiedBy>jc</cp:lastModifiedBy>
  <cp:revision>3</cp:revision>
  <dcterms:created xsi:type="dcterms:W3CDTF">2015-01-18T19:19:00Z</dcterms:created>
  <dcterms:modified xsi:type="dcterms:W3CDTF">2015-01-18T19:20:00Z</dcterms:modified>
</cp:coreProperties>
</file>