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FA" w:rsidRDefault="000B3576" w:rsidP="00CE30FA">
      <w:pPr>
        <w:spacing w:after="255" w:line="252" w:lineRule="atLeast"/>
        <w:textAlignment w:val="baseline"/>
        <w:outlineLvl w:val="0"/>
        <w:rPr>
          <w:rFonts w:ascii="Georgia" w:eastAsia="Times New Roman" w:hAnsi="Georgia" w:cs="Arial"/>
          <w:color w:val="000000"/>
          <w:kern w:val="36"/>
          <w:sz w:val="48"/>
          <w:szCs w:val="48"/>
          <w:u w:val="single"/>
          <w:lang w:eastAsia="es-ES"/>
        </w:rPr>
      </w:pPr>
      <w:r>
        <w:rPr>
          <w:rFonts w:ascii="Georgia" w:eastAsia="Times New Roman" w:hAnsi="Georgia" w:cs="Arial"/>
          <w:color w:val="000000"/>
          <w:kern w:val="36"/>
          <w:sz w:val="48"/>
          <w:szCs w:val="48"/>
          <w:u w:val="single"/>
          <w:lang w:eastAsia="es-ES"/>
        </w:rPr>
        <w:t>NUEVA TRIBUNA</w:t>
      </w:r>
    </w:p>
    <w:p w:rsidR="00CE30FA" w:rsidRPr="009E46F3" w:rsidRDefault="00CE30FA" w:rsidP="00CE30FA">
      <w:pPr>
        <w:spacing w:after="255" w:line="252" w:lineRule="atLeast"/>
        <w:textAlignment w:val="baseline"/>
        <w:outlineLvl w:val="0"/>
        <w:rPr>
          <w:rFonts w:ascii="Georgia" w:eastAsia="Times New Roman" w:hAnsi="Georgia" w:cs="Arial"/>
          <w:color w:val="000000"/>
          <w:kern w:val="36"/>
          <w:sz w:val="40"/>
          <w:szCs w:val="40"/>
          <w:u w:val="single"/>
          <w:lang w:eastAsia="es-ES"/>
        </w:rPr>
      </w:pPr>
      <w:r w:rsidRPr="009E46F3">
        <w:rPr>
          <w:rFonts w:ascii="Georgia" w:eastAsia="Times New Roman" w:hAnsi="Georgia" w:cs="Arial"/>
          <w:color w:val="000000"/>
          <w:kern w:val="36"/>
          <w:sz w:val="40"/>
          <w:szCs w:val="40"/>
          <w:u w:val="single"/>
          <w:lang w:eastAsia="es-ES"/>
        </w:rPr>
        <w:t>Lo que van a perder las pensiones</w:t>
      </w:r>
      <w:r w:rsidR="009E46F3">
        <w:rPr>
          <w:rFonts w:ascii="Georgia" w:eastAsia="Times New Roman" w:hAnsi="Georgia" w:cs="Arial"/>
          <w:color w:val="000000"/>
          <w:kern w:val="36"/>
          <w:sz w:val="40"/>
          <w:szCs w:val="40"/>
          <w:u w:val="single"/>
          <w:lang w:eastAsia="es-ES"/>
        </w:rPr>
        <w:t xml:space="preserve"> del </w:t>
      </w:r>
      <w:r w:rsidR="009E46F3" w:rsidRPr="009E46F3">
        <w:rPr>
          <w:rFonts w:ascii="Georgia" w:eastAsia="Times New Roman" w:hAnsi="Georgia" w:cs="Arial"/>
          <w:color w:val="000000"/>
          <w:kern w:val="36"/>
          <w:sz w:val="40"/>
          <w:szCs w:val="40"/>
          <w:u w:val="single"/>
          <w:lang w:eastAsia="es-ES"/>
        </w:rPr>
        <w:t>2015</w:t>
      </w:r>
      <w:r w:rsidR="009E46F3">
        <w:rPr>
          <w:rFonts w:ascii="Georgia" w:eastAsia="Times New Roman" w:hAnsi="Georgia" w:cs="Arial"/>
          <w:color w:val="000000"/>
          <w:kern w:val="36"/>
          <w:sz w:val="40"/>
          <w:szCs w:val="40"/>
          <w:u w:val="single"/>
          <w:lang w:eastAsia="es-ES"/>
        </w:rPr>
        <w:t>,</w:t>
      </w:r>
    </w:p>
    <w:p w:rsidR="00CE30FA" w:rsidRPr="00CE30FA" w:rsidRDefault="00CE30FA" w:rsidP="00CE30FA">
      <w:pPr>
        <w:spacing w:line="248" w:lineRule="atLeast"/>
        <w:textAlignment w:val="baseline"/>
        <w:rPr>
          <w:rFonts w:ascii="inherit" w:eastAsia="Times New Roman" w:hAnsi="inherit" w:cs="Arial"/>
          <w:b/>
          <w:color w:val="636363"/>
          <w:lang w:eastAsia="es-ES"/>
        </w:rPr>
      </w:pPr>
      <w:r w:rsidRPr="00CE30FA">
        <w:rPr>
          <w:rFonts w:ascii="inherit" w:eastAsia="Times New Roman" w:hAnsi="inherit" w:cs="Arial"/>
          <w:b/>
          <w:i/>
          <w:iCs/>
          <w:color w:val="636363"/>
          <w:lang w:eastAsia="es-ES"/>
        </w:rPr>
        <w:t xml:space="preserve">Por Antonio </w:t>
      </w:r>
      <w:proofErr w:type="spellStart"/>
      <w:r w:rsidRPr="00CE30FA">
        <w:rPr>
          <w:rFonts w:ascii="inherit" w:eastAsia="Times New Roman" w:hAnsi="inherit" w:cs="Arial"/>
          <w:b/>
          <w:i/>
          <w:iCs/>
          <w:color w:val="636363"/>
          <w:lang w:eastAsia="es-ES"/>
        </w:rPr>
        <w:t>Gonzalez</w:t>
      </w:r>
      <w:proofErr w:type="spellEnd"/>
      <w:r w:rsidRPr="00CE30FA">
        <w:rPr>
          <w:rFonts w:ascii="inherit" w:eastAsia="Times New Roman" w:hAnsi="inherit" w:cs="Arial"/>
          <w:b/>
          <w:i/>
          <w:iCs/>
          <w:color w:val="636363"/>
          <w:lang w:eastAsia="es-ES"/>
        </w:rPr>
        <w:t xml:space="preserve"> y Borja Suarez </w:t>
      </w:r>
      <w:r w:rsidRPr="00CE30FA">
        <w:rPr>
          <w:rFonts w:ascii="inherit" w:eastAsia="Times New Roman" w:hAnsi="inherit" w:cs="Arial"/>
          <w:b/>
          <w:color w:val="636363"/>
          <w:lang w:eastAsia="es-ES"/>
        </w:rPr>
        <w:t>| Engaños para aprobar la Ley y un futuro de recortes continuados: los pensionistas, y la ciudadanía en general, necesitan urgentemente una explicación.</w:t>
      </w:r>
    </w:p>
    <w:p w:rsidR="00CE30FA" w:rsidRPr="00CE30FA" w:rsidRDefault="00CE30FA" w:rsidP="00CE30FA">
      <w:pPr>
        <w:spacing w:after="0" w:line="248" w:lineRule="atLeast"/>
        <w:textAlignment w:val="baseline"/>
        <w:rPr>
          <w:rFonts w:ascii="Georgia" w:eastAsia="Times New Roman" w:hAnsi="Georgia" w:cs="Arial"/>
          <w:color w:val="747678"/>
          <w:sz w:val="17"/>
          <w:szCs w:val="17"/>
          <w:lang w:eastAsia="es-ES"/>
        </w:rPr>
      </w:pPr>
      <w:r w:rsidRPr="00CE30FA">
        <w:rPr>
          <w:rFonts w:ascii="inherit" w:eastAsia="Times New Roman" w:hAnsi="inherit" w:cs="Arial"/>
          <w:color w:val="747678"/>
          <w:sz w:val="17"/>
          <w:lang w:eastAsia="es-ES"/>
        </w:rPr>
        <w:t xml:space="preserve">nuevatribuna.es | Antonio </w:t>
      </w:r>
      <w:proofErr w:type="spellStart"/>
      <w:r w:rsidRPr="00CE30FA">
        <w:rPr>
          <w:rFonts w:ascii="inherit" w:eastAsia="Times New Roman" w:hAnsi="inherit" w:cs="Arial"/>
          <w:color w:val="747678"/>
          <w:sz w:val="17"/>
          <w:lang w:eastAsia="es-ES"/>
        </w:rPr>
        <w:t>Gonzalez</w:t>
      </w:r>
      <w:proofErr w:type="spellEnd"/>
      <w:r w:rsidRPr="00CE30FA">
        <w:rPr>
          <w:rFonts w:ascii="inherit" w:eastAsia="Times New Roman" w:hAnsi="inherit" w:cs="Arial"/>
          <w:color w:val="747678"/>
          <w:sz w:val="17"/>
          <w:lang w:eastAsia="es-ES"/>
        </w:rPr>
        <w:t xml:space="preserve"> y Borja Suarez</w:t>
      </w:r>
      <w:r w:rsidRPr="00CE30FA">
        <w:rPr>
          <w:rFonts w:ascii="Georgia" w:eastAsia="Times New Roman" w:hAnsi="Georgia" w:cs="Arial"/>
          <w:color w:val="747678"/>
          <w:sz w:val="17"/>
          <w:lang w:eastAsia="es-ES"/>
        </w:rPr>
        <w:t> </w:t>
      </w:r>
      <w:r w:rsidRPr="00CE30FA">
        <w:rPr>
          <w:rFonts w:ascii="Georgia" w:eastAsia="Times New Roman" w:hAnsi="Georgia" w:cs="Arial"/>
          <w:color w:val="747678"/>
          <w:sz w:val="17"/>
          <w:szCs w:val="17"/>
          <w:lang w:eastAsia="es-ES"/>
        </w:rPr>
        <w:t>|</w:t>
      </w:r>
      <w:r w:rsidRPr="00CE30FA">
        <w:rPr>
          <w:rFonts w:ascii="Georgia" w:eastAsia="Times New Roman" w:hAnsi="Georgia" w:cs="Arial"/>
          <w:color w:val="747678"/>
          <w:sz w:val="17"/>
          <w:lang w:eastAsia="es-ES"/>
        </w:rPr>
        <w:t> </w:t>
      </w:r>
      <w:r w:rsidRPr="00CE30FA">
        <w:rPr>
          <w:rFonts w:ascii="inherit" w:eastAsia="Times New Roman" w:hAnsi="inherit" w:cs="Arial"/>
          <w:color w:val="747678"/>
          <w:sz w:val="17"/>
          <w:lang w:eastAsia="es-ES"/>
        </w:rPr>
        <w:t>28 Enero 2015 - 07:00 h.</w:t>
      </w:r>
    </w:p>
    <w:p w:rsidR="00CE30FA" w:rsidRPr="00CE30FA" w:rsidRDefault="00CE30FA" w:rsidP="00CE30FA">
      <w:pPr>
        <w:spacing w:after="150" w:line="248" w:lineRule="atLeast"/>
        <w:textAlignment w:val="baseline"/>
        <w:rPr>
          <w:rFonts w:ascii="inherit" w:eastAsia="Times New Roman" w:hAnsi="inherit" w:cs="Arial"/>
          <w:color w:val="2D2C2B"/>
          <w:sz w:val="18"/>
          <w:szCs w:val="18"/>
          <w:lang w:eastAsia="es-ES"/>
        </w:rPr>
      </w:pPr>
      <w:r>
        <w:rPr>
          <w:rFonts w:ascii="inherit" w:eastAsia="Times New Roman" w:hAnsi="inherit" w:cs="Arial"/>
          <w:noProof/>
          <w:color w:val="2D2C2B"/>
          <w:sz w:val="18"/>
          <w:szCs w:val="18"/>
          <w:lang w:eastAsia="es-ES"/>
        </w:rPr>
        <w:drawing>
          <wp:inline distT="0" distB="0" distL="0" distR="0">
            <wp:extent cx="4572000" cy="1914525"/>
            <wp:effectExtent l="19050" t="0" r="0" b="0"/>
            <wp:docPr id="1" name="Imagen 1" descr="http://www.nuevatribuna.es/media/nuevatribuna/images/2015/01/27/2015012719205817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uevatribuna.es/media/nuevatribuna/images/2015/01/27/2015012719205817772.jpg"/>
                    <pic:cNvPicPr>
                      <a:picLocks noChangeAspect="1" noChangeArrowheads="1"/>
                    </pic:cNvPicPr>
                  </pic:nvPicPr>
                  <pic:blipFill>
                    <a:blip r:embed="rId8" cstate="print"/>
                    <a:srcRect/>
                    <a:stretch>
                      <a:fillRect/>
                    </a:stretch>
                  </pic:blipFill>
                  <pic:spPr bwMode="auto">
                    <a:xfrm>
                      <a:off x="0" y="0"/>
                      <a:ext cx="4572000" cy="1914525"/>
                    </a:xfrm>
                    <a:prstGeom prst="rect">
                      <a:avLst/>
                    </a:prstGeom>
                    <a:noFill/>
                    <a:ln w="9525">
                      <a:noFill/>
                      <a:miter lim="800000"/>
                      <a:headEnd/>
                      <a:tailEnd/>
                    </a:ln>
                  </pic:spPr>
                </pic:pic>
              </a:graphicData>
            </a:graphic>
          </wp:inline>
        </w:drawing>
      </w:r>
    </w:p>
    <w:p w:rsidR="00CE30FA" w:rsidRPr="00CE30FA" w:rsidRDefault="00E94BAD" w:rsidP="00CE30FA">
      <w:pPr>
        <w:spacing w:after="348" w:line="248" w:lineRule="atLeast"/>
        <w:textAlignment w:val="baseline"/>
        <w:rPr>
          <w:rFonts w:ascii="inherit" w:eastAsia="Times New Roman" w:hAnsi="inherit" w:cs="Arial"/>
          <w:color w:val="2D2C2B"/>
          <w:sz w:val="18"/>
          <w:szCs w:val="18"/>
          <w:lang w:eastAsia="es-ES"/>
        </w:rPr>
      </w:pPr>
      <w:r w:rsidRPr="00E94BAD">
        <w:rPr>
          <w:rFonts w:ascii="inherit" w:eastAsia="Times New Roman" w:hAnsi="inherit" w:cs="Arial"/>
          <w:color w:val="2D2C2B"/>
          <w:sz w:val="18"/>
          <w:szCs w:val="18"/>
          <w:lang w:eastAsia="es-ES"/>
        </w:rPr>
        <w:pict>
          <v:rect id="_x0000_i1025" style="width:5in;height:1.2pt" o:hrpct="0" o:hralign="center" o:hrstd="t" o:hrnoshade="t" o:hr="t" fillcolor="#ddd" stroked="f"/>
        </w:pict>
      </w:r>
    </w:p>
    <w:p w:rsidR="00CE30FA" w:rsidRPr="00CE30FA" w:rsidRDefault="00CE30FA" w:rsidP="00CE30FA">
      <w:pPr>
        <w:spacing w:after="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Hace unas semanas, la </w:t>
      </w:r>
      <w:r w:rsidRPr="00CE30FA">
        <w:rPr>
          <w:rFonts w:ascii="inherit" w:eastAsia="Times New Roman" w:hAnsi="inherit" w:cs="Arial"/>
          <w:b/>
          <w:bCs/>
          <w:color w:val="2D2C2B"/>
          <w:sz w:val="18"/>
          <w:lang w:eastAsia="es-ES"/>
        </w:rPr>
        <w:t>Autoridad Independiente de Responsabilidad Fiscal</w:t>
      </w:r>
      <w:r w:rsidRPr="00CE30FA">
        <w:rPr>
          <w:rFonts w:ascii="inherit" w:eastAsia="Times New Roman" w:hAnsi="inherit" w:cs="Arial"/>
          <w:color w:val="2D2C2B"/>
          <w:sz w:val="18"/>
          <w:szCs w:val="18"/>
          <w:lang w:eastAsia="es-ES"/>
        </w:rPr>
        <w:t> publicó un informe sobre la “</w:t>
      </w:r>
      <w:hyperlink r:id="rId9" w:tgtFrame="_blank" w:history="1">
        <w:r w:rsidRPr="00CE30FA">
          <w:rPr>
            <w:rFonts w:ascii="inherit" w:eastAsia="Times New Roman" w:hAnsi="inherit" w:cs="Arial"/>
            <w:i/>
            <w:iCs/>
            <w:color w:val="980101"/>
            <w:sz w:val="18"/>
            <w:u w:val="single"/>
            <w:lang w:eastAsia="es-ES"/>
          </w:rPr>
          <w:t>determinación del índice de revalorización de las pensiones</w:t>
        </w:r>
      </w:hyperlink>
      <w:r w:rsidRPr="00CE30FA">
        <w:rPr>
          <w:rFonts w:ascii="inherit" w:eastAsia="Times New Roman" w:hAnsi="inherit" w:cs="Arial"/>
          <w:color w:val="2D2C2B"/>
          <w:sz w:val="18"/>
          <w:szCs w:val="18"/>
          <w:lang w:eastAsia="es-ES"/>
        </w:rPr>
        <w:t>” en 2015. En él se ofrecen datos interesantes que ponen de manifiesto la entidad de los cambios introducidos el pasado año en nuestro sistema público de pensiones y que lo convierten en una excepción en la UE. Uno de los aspectos destacados de la Ley 23/2013 fue la modificación del mecanismo de revalorización anual de las pensiones.</w:t>
      </w:r>
      <w:r w:rsidRPr="00CE30FA">
        <w:rPr>
          <w:rFonts w:ascii="inherit" w:eastAsia="Times New Roman" w:hAnsi="inherit" w:cs="Arial"/>
          <w:color w:val="2D2C2B"/>
          <w:sz w:val="18"/>
          <w:lang w:eastAsia="es-ES"/>
        </w:rPr>
        <w:t> </w:t>
      </w:r>
      <w:r w:rsidRPr="00CE30FA">
        <w:rPr>
          <w:rFonts w:ascii="inherit" w:eastAsia="Times New Roman" w:hAnsi="inherit" w:cs="Arial"/>
          <w:b/>
          <w:bCs/>
          <w:color w:val="2D2C2B"/>
          <w:sz w:val="18"/>
          <w:u w:val="single"/>
          <w:lang w:eastAsia="es-ES"/>
        </w:rPr>
        <w:t>La vinculación a la evolución de los precios, es decir, la garantía del mantenimiento del poder adquisitivo, fue sustituida por una fórmula que condiciona ese incremento anual de las pensiones a la situación financiera de la Seguridad Social</w:t>
      </w:r>
      <w:r w:rsidRPr="00CE30FA">
        <w:rPr>
          <w:rFonts w:ascii="inherit" w:eastAsia="Times New Roman" w:hAnsi="inherit" w:cs="Arial"/>
          <w:color w:val="2D2C2B"/>
          <w:sz w:val="18"/>
          <w:szCs w:val="18"/>
          <w:lang w:eastAsia="es-ES"/>
        </w:rPr>
        <w:t>: si las cuentas lo permiten se produce la revalorización –con un tope del 0,5% por encima del IPC en el mejor de los casos–, mientras que en otro caso únicamente se garantiza un incremento del 0,25%, una (casi) congelación que normalmente –2014 ha sido una anomalía excepcional–implicará pérdida de poder adquisitivo.</w:t>
      </w:r>
    </w:p>
    <w:p w:rsidR="00CE30FA" w:rsidRPr="00CE30FA" w:rsidRDefault="00CE30FA" w:rsidP="00CE30FA">
      <w:pPr>
        <w:spacing w:after="75" w:line="375" w:lineRule="atLeast"/>
        <w:textAlignment w:val="baseline"/>
        <w:rPr>
          <w:rFonts w:ascii="inherit" w:eastAsia="Times New Roman" w:hAnsi="inherit" w:cs="Arial"/>
          <w:i/>
          <w:iCs/>
          <w:color w:val="000000"/>
          <w:sz w:val="24"/>
          <w:szCs w:val="24"/>
          <w:lang w:eastAsia="es-ES"/>
        </w:rPr>
      </w:pPr>
      <w:r w:rsidRPr="00CE30FA">
        <w:rPr>
          <w:rFonts w:ascii="inherit" w:eastAsia="Times New Roman" w:hAnsi="inherit" w:cs="Arial"/>
          <w:i/>
          <w:iCs/>
          <w:color w:val="000000"/>
          <w:sz w:val="24"/>
          <w:szCs w:val="24"/>
          <w:lang w:eastAsia="es-ES"/>
        </w:rPr>
        <w:t>Engaños para aprobar la Ley y un futuro de recortes continuados: los pensionistas, y la ciudadanía en general, necesitan urgentemente una explicación</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Quizá sea la complejidad técnica del nuevo índice de revalorización lo que explica la escasa polémica que su introducción y puesta en marcha ha suscitado. Lo cierto es que con este sistema España no respeta la línea roja que para el resto de países europeos supone el mantenimiento del poder adquisitivo de las pensiones.</w:t>
      </w:r>
      <w:r w:rsidRPr="00CE30FA">
        <w:rPr>
          <w:rFonts w:ascii="inherit" w:eastAsia="Times New Roman" w:hAnsi="inherit" w:cs="Arial"/>
          <w:color w:val="2D2C2B"/>
          <w:sz w:val="18"/>
          <w:lang w:eastAsia="es-ES"/>
        </w:rPr>
        <w:t> </w:t>
      </w:r>
      <w:r w:rsidRPr="00CE30FA">
        <w:rPr>
          <w:rFonts w:ascii="inherit" w:eastAsia="Times New Roman" w:hAnsi="inherit" w:cs="Arial"/>
          <w:b/>
          <w:bCs/>
          <w:color w:val="2D2C2B"/>
          <w:sz w:val="18"/>
          <w:lang w:eastAsia="es-ES"/>
        </w:rPr>
        <w:t>De esta forma parece evidente la drástica devaluación que ha sufrido el derecho constitucional a la actualización de las pensiones</w:t>
      </w:r>
      <w:r w:rsidRPr="00CE30FA">
        <w:rPr>
          <w:rFonts w:ascii="inherit" w:eastAsia="Times New Roman" w:hAnsi="inherit" w:cs="Arial"/>
          <w:color w:val="2D2C2B"/>
          <w:sz w:val="18"/>
          <w:lang w:eastAsia="es-ES"/>
        </w:rPr>
        <w:t> </w:t>
      </w:r>
      <w:r w:rsidRPr="00CE30FA">
        <w:rPr>
          <w:rFonts w:ascii="inherit" w:eastAsia="Times New Roman" w:hAnsi="inherit" w:cs="Arial"/>
          <w:color w:val="2D2C2B"/>
          <w:sz w:val="18"/>
          <w:szCs w:val="18"/>
          <w:lang w:eastAsia="es-ES"/>
        </w:rPr>
        <w:t>(art. 50): se reconocerá si la situación económica es favorable y se denegará en coyunturas de crisis. Esta es la nueva y devaluada configuración de los “derechos” sociales, denunciada por la profesora Casas Baamonde, ex presidenta del Tribunal Constitucional.</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Pero ahora lo que interesa es que por vez primera el índice de revalorización ha sido aplicado. De un modo poco transparente, el Ministerio de Empleo y Seguridad Social se ha limitado a anunciar que el resultado de la nueva fórmula es negativo y que, por tanto, las pensiones se han de incrementar ese mínimo del 0,25%: así lo establece la Ley de Presupuestos Generales del Estado para 2015. Una opacidad compensada por la jugosa información publicada por la Autoridad Fiscal, que permite hacernos una idea cierta de la suerte que correrán nuestros pensionistas en los próximos años, cuando menos hasta el principio de la próxima década.</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b/>
          <w:bCs/>
          <w:color w:val="2D2C2B"/>
          <w:sz w:val="18"/>
          <w:lang w:eastAsia="es-ES"/>
        </w:rPr>
        <w:lastRenderedPageBreak/>
        <w:t>El nuevo índice de revalorización está integrado por dos componentes: uno expresa el ritmo de crecimiento anual de los ingresos y gastos de la Seguridad Social en un periodo de once años, mientras que el otro refleja el equilibrio o desequilibrio entre esos ingresos y gastos en el mismo tiempo de referencia</w:t>
      </w:r>
      <w:r w:rsidRPr="00CE30FA">
        <w:rPr>
          <w:rFonts w:ascii="inherit" w:eastAsia="Times New Roman" w:hAnsi="inherit" w:cs="Arial"/>
          <w:color w:val="2D2C2B"/>
          <w:sz w:val="18"/>
          <w:lang w:eastAsia="es-ES"/>
        </w:rPr>
        <w:t> </w:t>
      </w:r>
      <w:r w:rsidRPr="00CE30FA">
        <w:rPr>
          <w:rFonts w:ascii="inherit" w:eastAsia="Times New Roman" w:hAnsi="inherit" w:cs="Arial"/>
          <w:color w:val="2D2C2B"/>
          <w:sz w:val="18"/>
          <w:szCs w:val="18"/>
          <w:lang w:eastAsia="es-ES"/>
        </w:rPr>
        <w:t>–2010-2020, en este caso–. Pues bien, lo que la Autoridad Fiscal dice implícitamente es que la evolución prevista de ambos componentes amenaza el poder adquisitivo de las pensiones en los sucesivos ejercicios de aquí a 2020. Veamos por qué.</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I. Dejando por un momento a un lado el segundo de los componentes de la fórmula –el que refleja el (des)equilibrio entre ingresos y gastos–, la revalorización anual será el resultado de restar al incremento de los ingresos del sistema (las cotizaciones, básicamente) dos elementos: el incremento del número de pensiones y el incremento de la pensión media. Para la aplicación de la fórmula, el Ministerio de Empleo ha tenido que manejar estimaciones sobre la evolución de cada una de estas tres variables en el periodo 2016-2020.</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 xml:space="preserve">Por lo que se refiere a los ingresos, contempla un crecimiento del 4,1% de media anual a lo largo de ese quinquenio. A juicio de la Autoridad Fiscal, se trata de una previsión “exigente” </w:t>
      </w:r>
      <w:proofErr w:type="gramStart"/>
      <w:r w:rsidRPr="00CE30FA">
        <w:rPr>
          <w:rFonts w:ascii="inherit" w:eastAsia="Times New Roman" w:hAnsi="inherit" w:cs="Arial"/>
          <w:color w:val="2D2C2B"/>
          <w:sz w:val="18"/>
          <w:szCs w:val="18"/>
          <w:lang w:eastAsia="es-ES"/>
        </w:rPr>
        <w:t>–¿</w:t>
      </w:r>
      <w:proofErr w:type="gramEnd"/>
      <w:r w:rsidRPr="00CE30FA">
        <w:rPr>
          <w:rFonts w:ascii="inherit" w:eastAsia="Times New Roman" w:hAnsi="inherit" w:cs="Arial"/>
          <w:color w:val="2D2C2B"/>
          <w:sz w:val="18"/>
          <w:szCs w:val="18"/>
          <w:lang w:eastAsia="es-ES"/>
        </w:rPr>
        <w:t>eufemismo para evitar calificarla de demasiado optimista?–, pues sin recursos adicionales, vía impuestos o subida de cotizaciones, no pasaría del 3%. Pero incluso dando por bueno ese 4,1% de crecimiento anual medio de los ingresos, las perspectivas de revalorización para los pensionistas son muy poco halagüeñas.</w:t>
      </w:r>
    </w:p>
    <w:p w:rsidR="00CE30FA" w:rsidRPr="00CE30FA" w:rsidRDefault="00CE30FA" w:rsidP="00CE30FA">
      <w:pPr>
        <w:spacing w:after="75" w:line="375" w:lineRule="atLeast"/>
        <w:textAlignment w:val="baseline"/>
        <w:rPr>
          <w:rFonts w:ascii="inherit" w:eastAsia="Times New Roman" w:hAnsi="inherit" w:cs="Arial"/>
          <w:i/>
          <w:iCs/>
          <w:color w:val="000000"/>
          <w:sz w:val="24"/>
          <w:szCs w:val="24"/>
          <w:lang w:eastAsia="es-ES"/>
        </w:rPr>
      </w:pPr>
      <w:r w:rsidRPr="00CE30FA">
        <w:rPr>
          <w:rFonts w:ascii="inherit" w:eastAsia="Times New Roman" w:hAnsi="inherit" w:cs="Arial"/>
          <w:i/>
          <w:iCs/>
          <w:color w:val="000000"/>
          <w:sz w:val="24"/>
          <w:szCs w:val="24"/>
          <w:lang w:eastAsia="es-ES"/>
        </w:rPr>
        <w:t>La información de la Autoridad Fiscal apunta a que el desequilibrio actualmente existente entre ingresos y gastos va paulatinamente reduciéndose, pero persiste hasta el final de la década</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b/>
          <w:bCs/>
          <w:color w:val="2D2C2B"/>
          <w:sz w:val="18"/>
          <w:lang w:eastAsia="es-ES"/>
        </w:rPr>
        <w:t>Junto a la recuperación del empleo, uno de los presupuestos necesarios para alcanzar esa cota de crecimiento de los ingresos es que la inflación se sitúe en el entorno del 2%</w:t>
      </w:r>
      <w:r w:rsidRPr="00CE30FA">
        <w:rPr>
          <w:rFonts w:ascii="inherit" w:eastAsia="Times New Roman" w:hAnsi="inherit" w:cs="Arial"/>
          <w:color w:val="2D2C2B"/>
          <w:sz w:val="18"/>
          <w:szCs w:val="18"/>
          <w:lang w:eastAsia="es-ES"/>
        </w:rPr>
        <w:t>, objetivo del Banco Central Europeo. En concreto, la Autoridad Fiscal estima una variación media del 1,8% anual para ese tramo entre 2016 y 2020. Lógicamente esto implica que,</w:t>
      </w:r>
      <w:r w:rsidRPr="00CE30FA">
        <w:rPr>
          <w:rFonts w:ascii="inherit" w:eastAsia="Times New Roman" w:hAnsi="inherit" w:cs="Arial"/>
          <w:color w:val="2D2C2B"/>
          <w:sz w:val="18"/>
          <w:lang w:eastAsia="es-ES"/>
        </w:rPr>
        <w:t> </w:t>
      </w:r>
      <w:r w:rsidRPr="00CE30FA">
        <w:rPr>
          <w:rFonts w:ascii="inherit" w:eastAsia="Times New Roman" w:hAnsi="inherit" w:cs="Arial"/>
          <w:b/>
          <w:bCs/>
          <w:color w:val="2D2C2B"/>
          <w:sz w:val="18"/>
          <w:lang w:eastAsia="es-ES"/>
        </w:rPr>
        <w:t>para garantizar el mantenimiento del poder adquisitivo, el promedio de revalorización de las pensiones en los cinco próximos años debería alcanzar ese valor</w:t>
      </w:r>
      <w:r w:rsidRPr="00CE30FA">
        <w:rPr>
          <w:rFonts w:ascii="inherit" w:eastAsia="Times New Roman" w:hAnsi="inherit" w:cs="Arial"/>
          <w:color w:val="2D2C2B"/>
          <w:sz w:val="18"/>
          <w:szCs w:val="18"/>
          <w:lang w:eastAsia="es-ES"/>
        </w:rPr>
        <w:t>. Sin embargo, tal nivel de casi dos puntos parece difícilmente alcanzable si atendemos a las previsiones ofrecidas por la misma Autoridad Fiscal sobre las otras dos variables del índice de revalorización: el incremento estimado del número de pensiones (1,3%) y el de la pensión media (1,5%).</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Imaginemos que estas dos últimas cifras, y la relativa al crecimiento de los ingresos, reflejan la evolución media de las variables de la fórmula de aquí a 2020. (Es razonable hacerlo así en la medida en que los malos años del principio de esta década podrían compensarse con los –ojalá– más boyantes del inicio de la próxima). Pues bien, sin tener todavía en cuenta el segundo componente, un crecimiento medio de los ingresos del 4,1% implicaría que el índice de revalorización no superaría el 1,3% (la diferencia entre ese 4,1 y la suma de 1,3 y 1,5). Es decir que la pérdida de poder adquisitivo cada año hasta 2020 sería del 0,5% (1,8 de inflación menos 1,3 de revalorización), un 3% en el conjunto de los cinco próximos años. Si los ingresos crecieran menos, la pérdida sería aún mayor.</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II. Si además incorporamos el segundo componente de la fórmula legal de revalorización, el resultado es aún más inquietante. La información de la Autoridad Fiscal apunta a que el desequilibrio actualmente existente entre ingresos y gastos va paulatinamente reduciéndose, pero persiste hasta el final de la década.</w:t>
      </w:r>
    </w:p>
    <w:p w:rsidR="00CE30FA" w:rsidRPr="00CE30FA" w:rsidRDefault="00CE30FA" w:rsidP="00CE30FA">
      <w:pPr>
        <w:spacing w:after="0" w:line="248" w:lineRule="atLeast"/>
        <w:jc w:val="center"/>
        <w:textAlignment w:val="baseline"/>
        <w:rPr>
          <w:rFonts w:ascii="inherit" w:eastAsia="Times New Roman" w:hAnsi="inherit" w:cs="Arial"/>
          <w:color w:val="2D2C2B"/>
          <w:sz w:val="18"/>
          <w:szCs w:val="18"/>
          <w:lang w:eastAsia="es-ES"/>
        </w:rPr>
      </w:pPr>
      <w:r>
        <w:rPr>
          <w:rFonts w:ascii="inherit" w:eastAsia="Times New Roman" w:hAnsi="inherit" w:cs="Arial"/>
          <w:noProof/>
          <w:color w:val="2D2C2B"/>
          <w:sz w:val="18"/>
          <w:szCs w:val="18"/>
          <w:lang w:eastAsia="es-ES"/>
        </w:rPr>
        <w:lastRenderedPageBreak/>
        <w:drawing>
          <wp:inline distT="0" distB="0" distL="0" distR="0">
            <wp:extent cx="4572000" cy="3171825"/>
            <wp:effectExtent l="19050" t="0" r="0" b="0"/>
            <wp:docPr id="3" name="Imagen 3" descr="http://www.nuevatribuna.es/media/nuevatribuna/images/2015/01/27/2015012719163935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uevatribuna.es/media/nuevatribuna/images/2015/01/27/2015012719163935852.jpg"/>
                    <pic:cNvPicPr>
                      <a:picLocks noChangeAspect="1" noChangeArrowheads="1"/>
                    </pic:cNvPicPr>
                  </pic:nvPicPr>
                  <pic:blipFill>
                    <a:blip r:embed="rId10" cstate="print"/>
                    <a:srcRect/>
                    <a:stretch>
                      <a:fillRect/>
                    </a:stretch>
                  </pic:blipFill>
                  <pic:spPr bwMode="auto">
                    <a:xfrm>
                      <a:off x="0" y="0"/>
                      <a:ext cx="4572000" cy="3171825"/>
                    </a:xfrm>
                    <a:prstGeom prst="rect">
                      <a:avLst/>
                    </a:prstGeom>
                    <a:noFill/>
                    <a:ln w="9525">
                      <a:noFill/>
                      <a:miter lim="800000"/>
                      <a:headEnd/>
                      <a:tailEnd/>
                    </a:ln>
                  </pic:spPr>
                </pic:pic>
              </a:graphicData>
            </a:graphic>
          </wp:inline>
        </w:drawing>
      </w:r>
      <w:r w:rsidRPr="00CE30FA">
        <w:rPr>
          <w:rFonts w:ascii="inherit" w:eastAsia="Times New Roman" w:hAnsi="inherit" w:cs="Arial"/>
          <w:color w:val="2D2C2B"/>
          <w:sz w:val="18"/>
          <w:szCs w:val="18"/>
          <w:lang w:eastAsia="es-ES"/>
        </w:rPr>
        <w:br/>
      </w:r>
      <w:r w:rsidRPr="00CE30FA">
        <w:rPr>
          <w:rFonts w:ascii="inherit" w:eastAsia="Times New Roman" w:hAnsi="inherit" w:cs="Arial"/>
          <w:i/>
          <w:iCs/>
          <w:color w:val="2D2C2B"/>
          <w:sz w:val="17"/>
          <w:lang w:eastAsia="es-ES"/>
        </w:rPr>
        <w:t>Fuente: Gráfico tomado del informe de la Autoridad Independiente para la Responsabilidad Fiscal</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Ello supone que, a estos efectos, su valor sería siempre negativo; de manera que la cifra resultante deberá restarse a su vez al valor del primer componente, el mencionado 1,3. Y teniendo en cuenta el lastre que en el equilibrio de las cuentas han de suponer ejercicios como los de 2012, 2013 ó 2014 –con déficit anuales de más del 1% del PIB–, lo más probable es que ese impacto negativo dé lugar a la subida mínima del 0,25%. Es decir que en el quinquenio 2016-2020 los pensionistas perderían poder adquisitivo a razón de un 1,55% (inflación del 1,8 menos subida del 0,25) por ejercicio: un alarmante empobrecimiento de casi 8 puntos en tan sólo cinco años, que pone en serio peligro la suficiencia de las pensiones y refuerza las dudas de inconstitucionalidad del novedoso mecanismo de revalorización (¿o más bien devaluación?).</w:t>
      </w:r>
    </w:p>
    <w:p w:rsidR="00CE30FA" w:rsidRPr="00CE30FA" w:rsidRDefault="00CE30FA" w:rsidP="00CE30FA">
      <w:pPr>
        <w:spacing w:after="360" w:line="248" w:lineRule="atLeast"/>
        <w:textAlignment w:val="baseline"/>
        <w:rPr>
          <w:rFonts w:ascii="inherit" w:eastAsia="Times New Roman" w:hAnsi="inherit" w:cs="Arial"/>
          <w:color w:val="2D2C2B"/>
          <w:sz w:val="18"/>
          <w:szCs w:val="18"/>
          <w:lang w:eastAsia="es-ES"/>
        </w:rPr>
      </w:pPr>
      <w:r w:rsidRPr="00CE30FA">
        <w:rPr>
          <w:rFonts w:ascii="inherit" w:eastAsia="Times New Roman" w:hAnsi="inherit" w:cs="Arial"/>
          <w:color w:val="2D2C2B"/>
          <w:sz w:val="18"/>
          <w:szCs w:val="18"/>
          <w:lang w:eastAsia="es-ES"/>
        </w:rPr>
        <w:t>III. Como apunte final, hay que destacar que la información facilitada por la Autoridad Fiscal pone en evidencia al Gobierno. En un intento por demostrar las “virtudes” del nuevo índice de revalorización, la Memoria que acompañaba a la hoy Ley 23/2013 contenía una simulación del impacto que su aplicación habría tenido en el pasado. Se ofrecían unos datos que mostraban que sólo en 2011 y 2012 los pensionistas habrían perdido poder adquisitivo, porque en el resto de los casos desde el año 1997 las pensiones habrían subido siempre más que la inflación; en 2008, por ejemplo, se habrían revalorizado un 2,65%, por encima del 2,4% de IPC. Sin embargo, la Autoridad Fiscal hace ahora una simulación con los datos reales de la revalorización de las pensiones que habrían resultado de la aplicación de la nueva fórmula precisamente ese año 2008. La sorpresa es mayúscula: las pensiones sólo habrían subido un 1,74%, es decir, que los pensionistas habrían sufrido una significativa pérdida de poder adquisitivo (del 0,7%) de haberse aplicado el nuevo índice de revalorización anual.</w:t>
      </w:r>
    </w:p>
    <w:p w:rsidR="00CE30FA" w:rsidRPr="00CE30FA" w:rsidRDefault="00CE30FA" w:rsidP="00CE30FA">
      <w:pPr>
        <w:spacing w:after="360" w:line="248" w:lineRule="atLeast"/>
        <w:textAlignment w:val="baseline"/>
        <w:rPr>
          <w:rFonts w:ascii="inherit" w:eastAsia="Times New Roman" w:hAnsi="inherit" w:cs="Arial"/>
          <w:color w:val="222222"/>
          <w:sz w:val="17"/>
          <w:szCs w:val="17"/>
          <w:lang w:eastAsia="es-ES"/>
        </w:rPr>
      </w:pPr>
      <w:r w:rsidRPr="00CE30FA">
        <w:rPr>
          <w:rFonts w:ascii="inherit" w:eastAsia="Times New Roman" w:hAnsi="inherit" w:cs="Arial"/>
          <w:color w:val="2D2C2B"/>
          <w:sz w:val="18"/>
          <w:szCs w:val="18"/>
          <w:lang w:eastAsia="es-ES"/>
        </w:rPr>
        <w:t>Engaños para aprobar la Ley y un futuro de recortes continuados: los pensionistas, y la ciudadanía en general, necesitan urgentemente una explicación.</w:t>
      </w:r>
      <w:r w:rsidRPr="00CE30FA">
        <w:rPr>
          <w:rFonts w:ascii="inherit" w:eastAsia="Times New Roman" w:hAnsi="inherit" w:cs="Arial"/>
          <w:color w:val="222222"/>
          <w:sz w:val="17"/>
          <w:szCs w:val="17"/>
          <w:lang w:eastAsia="es-ES"/>
        </w:rPr>
        <w:t xml:space="preserve"> </w:t>
      </w:r>
      <w:hyperlink r:id="rId11" w:tooltip="Relacionado: ¿Cómo pagamos las pensiones?" w:history="1">
        <w:r w:rsidRPr="00CE30FA">
          <w:rPr>
            <w:rFonts w:ascii="inherit" w:eastAsia="Times New Roman" w:hAnsi="inherit" w:cs="Arial"/>
            <w:color w:val="980101"/>
            <w:sz w:val="17"/>
            <w:u w:val="single"/>
            <w:lang w:eastAsia="es-ES"/>
          </w:rPr>
          <w:t>¿Cómo pagamos las pensiones?</w:t>
        </w:r>
      </w:hyperlink>
      <w:r w:rsidRPr="00CE30FA">
        <w:rPr>
          <w:rFonts w:ascii="inherit" w:eastAsia="Times New Roman" w:hAnsi="inherit" w:cs="Arial"/>
          <w:color w:val="222222"/>
          <w:sz w:val="17"/>
          <w:szCs w:val="17"/>
          <w:lang w:eastAsia="es-ES"/>
        </w:rPr>
        <w:t xml:space="preserve"> </w:t>
      </w:r>
    </w:p>
    <w:p w:rsidR="00CE30FA" w:rsidRPr="00CE30FA" w:rsidRDefault="00CE30FA" w:rsidP="00CE30FA">
      <w:pPr>
        <w:spacing w:after="150" w:line="248" w:lineRule="atLeast"/>
        <w:textAlignment w:val="baseline"/>
        <w:rPr>
          <w:rFonts w:ascii="inherit" w:eastAsia="Times New Roman" w:hAnsi="inherit" w:cs="Arial"/>
          <w:color w:val="222222"/>
          <w:sz w:val="17"/>
          <w:szCs w:val="17"/>
          <w:lang w:eastAsia="es-ES"/>
        </w:rPr>
      </w:pPr>
    </w:p>
    <w:p w:rsidR="00CE30FA" w:rsidRPr="00CE30FA" w:rsidRDefault="00CE30FA" w:rsidP="00CE30FA">
      <w:pPr>
        <w:spacing w:after="150" w:line="248" w:lineRule="atLeast"/>
        <w:jc w:val="center"/>
        <w:textAlignment w:val="baseline"/>
        <w:rPr>
          <w:rFonts w:ascii="inherit" w:eastAsia="Times New Roman" w:hAnsi="inherit" w:cs="Arial"/>
          <w:color w:val="222222"/>
          <w:sz w:val="17"/>
          <w:szCs w:val="17"/>
          <w:lang w:eastAsia="es-ES"/>
        </w:rPr>
      </w:pPr>
      <w:r w:rsidRPr="00CE30FA">
        <w:rPr>
          <w:rFonts w:ascii="Times New Roman" w:eastAsia="Times New Roman" w:hAnsi="Times New Roman" w:cs="Times New Roman"/>
          <w:color w:val="222222"/>
          <w:sz w:val="17"/>
          <w:szCs w:val="17"/>
          <w:lang w:eastAsia="es-ES"/>
        </w:rPr>
        <w:t>﻿</w:t>
      </w:r>
    </w:p>
    <w:p w:rsidR="00CE30FA" w:rsidRPr="00CE30FA" w:rsidRDefault="00CE30FA" w:rsidP="00CE30FA">
      <w:pPr>
        <w:shd w:val="clear" w:color="auto" w:fill="FFFFFF"/>
        <w:spacing w:after="0" w:line="210" w:lineRule="atLeast"/>
        <w:textAlignment w:val="baseline"/>
        <w:rPr>
          <w:rFonts w:ascii="inherit" w:eastAsia="Times New Roman" w:hAnsi="inherit" w:cs="Arial"/>
          <w:color w:val="222222"/>
          <w:sz w:val="18"/>
          <w:szCs w:val="18"/>
          <w:lang w:eastAsia="es-ES"/>
        </w:rPr>
      </w:pPr>
    </w:p>
    <w:p w:rsidR="002B04C1" w:rsidRDefault="002B04C1"/>
    <w:sectPr w:rsidR="002B04C1" w:rsidSect="002B04C1">
      <w:headerReference w:type="even" r:id="rId12"/>
      <w:headerReference w:type="default" r:id="rId13"/>
      <w:footerReference w:type="even" r:id="rId14"/>
      <w:footerReference w:type="default" r:id="rId15"/>
      <w:headerReference w:type="first" r:id="rId16"/>
      <w:footerReference w:type="first" r:id="rId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7F6" w:rsidRDefault="005D17F6" w:rsidP="00CE30FA">
      <w:pPr>
        <w:spacing w:after="0" w:line="240" w:lineRule="auto"/>
      </w:pPr>
      <w:r>
        <w:separator/>
      </w:r>
    </w:p>
  </w:endnote>
  <w:endnote w:type="continuationSeparator" w:id="0">
    <w:p w:rsidR="005D17F6" w:rsidRDefault="005D17F6" w:rsidP="00CE30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7F6" w:rsidRDefault="005D17F6" w:rsidP="00CE30FA">
      <w:pPr>
        <w:spacing w:after="0" w:line="240" w:lineRule="auto"/>
      </w:pPr>
      <w:r>
        <w:separator/>
      </w:r>
    </w:p>
  </w:footnote>
  <w:footnote w:type="continuationSeparator" w:id="0">
    <w:p w:rsidR="005D17F6" w:rsidRDefault="005D17F6" w:rsidP="00CE30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0FA" w:rsidRDefault="00CE30FA">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B7925"/>
    <w:multiLevelType w:val="multilevel"/>
    <w:tmpl w:val="A0289A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51430FA"/>
    <w:multiLevelType w:val="multilevel"/>
    <w:tmpl w:val="2E3E63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12F16B9"/>
    <w:multiLevelType w:val="multilevel"/>
    <w:tmpl w:val="DB74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DF40A45"/>
    <w:multiLevelType w:val="multilevel"/>
    <w:tmpl w:val="7776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1C903CE"/>
    <w:multiLevelType w:val="multilevel"/>
    <w:tmpl w:val="70ACD2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450B735A"/>
    <w:multiLevelType w:val="multilevel"/>
    <w:tmpl w:val="4A46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83766E"/>
    <w:multiLevelType w:val="multilevel"/>
    <w:tmpl w:val="6E30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2E52F3"/>
    <w:multiLevelType w:val="multilevel"/>
    <w:tmpl w:val="06401D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5EA05EFC"/>
    <w:multiLevelType w:val="multilevel"/>
    <w:tmpl w:val="8216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39409A"/>
    <w:multiLevelType w:val="multilevel"/>
    <w:tmpl w:val="0A6C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2"/>
  </w:num>
  <w:num w:numId="4">
    <w:abstractNumId w:val="7"/>
  </w:num>
  <w:num w:numId="5">
    <w:abstractNumId w:val="0"/>
  </w:num>
  <w:num w:numId="6">
    <w:abstractNumId w:val="4"/>
  </w:num>
  <w:num w:numId="7">
    <w:abstractNumId w:val="1"/>
  </w:num>
  <w:num w:numId="8">
    <w:abstractNumId w:val="6"/>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CE30FA"/>
    <w:rsid w:val="00045434"/>
    <w:rsid w:val="000B3576"/>
    <w:rsid w:val="002B04C1"/>
    <w:rsid w:val="003F15A6"/>
    <w:rsid w:val="005D17F6"/>
    <w:rsid w:val="00694911"/>
    <w:rsid w:val="009E46F3"/>
    <w:rsid w:val="00CD1B94"/>
    <w:rsid w:val="00CE30FA"/>
    <w:rsid w:val="00E94BA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1">
    <w:name w:val="heading 1"/>
    <w:basedOn w:val="Normal"/>
    <w:link w:val="Ttulo1Car"/>
    <w:uiPriority w:val="9"/>
    <w:qFormat/>
    <w:rsid w:val="00CE30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E30FA"/>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CE30F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CE30FA"/>
    <w:rPr>
      <w:i/>
      <w:iCs/>
    </w:rPr>
  </w:style>
  <w:style w:type="character" w:customStyle="1" w:styleId="apple-converted-space">
    <w:name w:val="apple-converted-space"/>
    <w:basedOn w:val="Fuentedeprrafopredeter"/>
    <w:rsid w:val="00CE30FA"/>
  </w:style>
  <w:style w:type="character" w:customStyle="1" w:styleId="inner-article-author">
    <w:name w:val="inner-article-author"/>
    <w:basedOn w:val="Fuentedeprrafopredeter"/>
    <w:rsid w:val="00CE30FA"/>
  </w:style>
  <w:style w:type="character" w:customStyle="1" w:styleId="cnewsdateupdate">
    <w:name w:val="cnewsdateupdate"/>
    <w:basedOn w:val="Fuentedeprrafopredeter"/>
    <w:rsid w:val="00CE30FA"/>
  </w:style>
  <w:style w:type="character" w:styleId="Textoennegrita">
    <w:name w:val="Strong"/>
    <w:basedOn w:val="Fuentedeprrafopredeter"/>
    <w:uiPriority w:val="22"/>
    <w:qFormat/>
    <w:rsid w:val="00CE30FA"/>
    <w:rPr>
      <w:b/>
      <w:bCs/>
    </w:rPr>
  </w:style>
  <w:style w:type="character" w:styleId="Hipervnculo">
    <w:name w:val="Hyperlink"/>
    <w:basedOn w:val="Fuentedeprrafopredeter"/>
    <w:uiPriority w:val="99"/>
    <w:semiHidden/>
    <w:unhideWhenUsed/>
    <w:rsid w:val="00CE30FA"/>
    <w:rPr>
      <w:color w:val="0000FF"/>
      <w:u w:val="single"/>
    </w:rPr>
  </w:style>
  <w:style w:type="paragraph" w:styleId="Textodeglobo">
    <w:name w:val="Balloon Text"/>
    <w:basedOn w:val="Normal"/>
    <w:link w:val="TextodegloboCar"/>
    <w:uiPriority w:val="99"/>
    <w:semiHidden/>
    <w:unhideWhenUsed/>
    <w:rsid w:val="00CE30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30FA"/>
    <w:rPr>
      <w:rFonts w:ascii="Tahoma" w:hAnsi="Tahoma" w:cs="Tahoma"/>
      <w:sz w:val="16"/>
      <w:szCs w:val="16"/>
    </w:rPr>
  </w:style>
  <w:style w:type="paragraph" w:styleId="Mapadeldocumento">
    <w:name w:val="Document Map"/>
    <w:basedOn w:val="Normal"/>
    <w:link w:val="MapadeldocumentoCar"/>
    <w:uiPriority w:val="99"/>
    <w:semiHidden/>
    <w:unhideWhenUsed/>
    <w:rsid w:val="00CE30F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E30FA"/>
    <w:rPr>
      <w:rFonts w:ascii="Tahoma" w:hAnsi="Tahoma" w:cs="Tahoma"/>
      <w:sz w:val="16"/>
      <w:szCs w:val="16"/>
    </w:rPr>
  </w:style>
  <w:style w:type="paragraph" w:styleId="Encabezado">
    <w:name w:val="header"/>
    <w:basedOn w:val="Normal"/>
    <w:link w:val="EncabezadoCar"/>
    <w:uiPriority w:val="99"/>
    <w:semiHidden/>
    <w:unhideWhenUsed/>
    <w:rsid w:val="00CE30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E30FA"/>
  </w:style>
  <w:style w:type="paragraph" w:styleId="Piedepgina">
    <w:name w:val="footer"/>
    <w:basedOn w:val="Normal"/>
    <w:link w:val="PiedepginaCar"/>
    <w:uiPriority w:val="99"/>
    <w:semiHidden/>
    <w:unhideWhenUsed/>
    <w:rsid w:val="00CE30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E30FA"/>
  </w:style>
</w:styles>
</file>

<file path=word/webSettings.xml><?xml version="1.0" encoding="utf-8"?>
<w:webSettings xmlns:r="http://schemas.openxmlformats.org/officeDocument/2006/relationships" xmlns:w="http://schemas.openxmlformats.org/wordprocessingml/2006/main">
  <w:divs>
    <w:div w:id="1766806509">
      <w:bodyDiv w:val="1"/>
      <w:marLeft w:val="0"/>
      <w:marRight w:val="0"/>
      <w:marTop w:val="0"/>
      <w:marBottom w:val="0"/>
      <w:divBdr>
        <w:top w:val="none" w:sz="0" w:space="0" w:color="auto"/>
        <w:left w:val="none" w:sz="0" w:space="0" w:color="auto"/>
        <w:bottom w:val="none" w:sz="0" w:space="0" w:color="auto"/>
        <w:right w:val="none" w:sz="0" w:space="0" w:color="auto"/>
      </w:divBdr>
      <w:divsChild>
        <w:div w:id="76249445">
          <w:marLeft w:val="0"/>
          <w:marRight w:val="0"/>
          <w:marTop w:val="0"/>
          <w:marBottom w:val="0"/>
          <w:divBdr>
            <w:top w:val="none" w:sz="0" w:space="0" w:color="auto"/>
            <w:left w:val="none" w:sz="0" w:space="0" w:color="auto"/>
            <w:bottom w:val="none" w:sz="0" w:space="0" w:color="auto"/>
            <w:right w:val="none" w:sz="0" w:space="0" w:color="auto"/>
          </w:divBdr>
          <w:divsChild>
            <w:div w:id="1688217286">
              <w:marLeft w:val="0"/>
              <w:marRight w:val="0"/>
              <w:marTop w:val="0"/>
              <w:marBottom w:val="0"/>
              <w:divBdr>
                <w:top w:val="single" w:sz="6" w:space="0" w:color="CCCCCC"/>
                <w:left w:val="single" w:sz="6" w:space="0" w:color="CCCCCC"/>
                <w:bottom w:val="single" w:sz="6" w:space="0" w:color="CCCCCC"/>
                <w:right w:val="single" w:sz="6" w:space="0" w:color="CCCCCC"/>
              </w:divBdr>
              <w:divsChild>
                <w:div w:id="389353195">
                  <w:marLeft w:val="75"/>
                  <w:marRight w:val="150"/>
                  <w:marTop w:val="0"/>
                  <w:marBottom w:val="0"/>
                  <w:divBdr>
                    <w:top w:val="single" w:sz="6" w:space="8" w:color="CCCCCC"/>
                    <w:left w:val="none" w:sz="0" w:space="0" w:color="auto"/>
                    <w:bottom w:val="none" w:sz="0" w:space="8" w:color="auto"/>
                    <w:right w:val="none" w:sz="0" w:space="0" w:color="auto"/>
                  </w:divBdr>
                  <w:divsChild>
                    <w:div w:id="40635457">
                      <w:marLeft w:val="0"/>
                      <w:marRight w:val="0"/>
                      <w:marTop w:val="0"/>
                      <w:marBottom w:val="0"/>
                      <w:divBdr>
                        <w:top w:val="none" w:sz="0" w:space="0" w:color="auto"/>
                        <w:left w:val="none" w:sz="0" w:space="0" w:color="auto"/>
                        <w:bottom w:val="none" w:sz="0" w:space="0" w:color="auto"/>
                        <w:right w:val="none" w:sz="0" w:space="0" w:color="auto"/>
                      </w:divBdr>
                      <w:divsChild>
                        <w:div w:id="2143838998">
                          <w:marLeft w:val="75"/>
                          <w:marRight w:val="150"/>
                          <w:marTop w:val="0"/>
                          <w:marBottom w:val="0"/>
                          <w:divBdr>
                            <w:top w:val="none" w:sz="0" w:space="0" w:color="auto"/>
                            <w:left w:val="none" w:sz="0" w:space="0" w:color="auto"/>
                            <w:bottom w:val="none" w:sz="0" w:space="0" w:color="auto"/>
                            <w:right w:val="single" w:sz="6" w:space="0" w:color="CCCCCC"/>
                          </w:divBdr>
                          <w:divsChild>
                            <w:div w:id="722214572">
                              <w:marLeft w:val="0"/>
                              <w:marRight w:val="0"/>
                              <w:marTop w:val="0"/>
                              <w:marBottom w:val="0"/>
                              <w:divBdr>
                                <w:top w:val="none" w:sz="0" w:space="0" w:color="auto"/>
                                <w:left w:val="none" w:sz="0" w:space="0" w:color="auto"/>
                                <w:bottom w:val="none" w:sz="0" w:space="0" w:color="auto"/>
                                <w:right w:val="none" w:sz="0" w:space="0" w:color="auto"/>
                              </w:divBdr>
                              <w:divsChild>
                                <w:div w:id="739669975">
                                  <w:marLeft w:val="0"/>
                                  <w:marRight w:val="150"/>
                                  <w:marTop w:val="0"/>
                                  <w:marBottom w:val="255"/>
                                  <w:divBdr>
                                    <w:top w:val="none" w:sz="0" w:space="0" w:color="auto"/>
                                    <w:left w:val="none" w:sz="0" w:space="0" w:color="auto"/>
                                    <w:bottom w:val="none" w:sz="0" w:space="0" w:color="auto"/>
                                    <w:right w:val="none" w:sz="0" w:space="0" w:color="auto"/>
                                  </w:divBdr>
                                </w:div>
                                <w:div w:id="736171594">
                                  <w:marLeft w:val="0"/>
                                  <w:marRight w:val="0"/>
                                  <w:marTop w:val="0"/>
                                  <w:marBottom w:val="0"/>
                                  <w:divBdr>
                                    <w:top w:val="none" w:sz="0" w:space="0" w:color="auto"/>
                                    <w:left w:val="none" w:sz="0" w:space="0" w:color="auto"/>
                                    <w:bottom w:val="none" w:sz="0" w:space="0" w:color="auto"/>
                                    <w:right w:val="none" w:sz="0" w:space="0" w:color="auto"/>
                                  </w:divBdr>
                                </w:div>
                              </w:divsChild>
                            </w:div>
                            <w:div w:id="135152429">
                              <w:marLeft w:val="0"/>
                              <w:marRight w:val="150"/>
                              <w:marTop w:val="0"/>
                              <w:marBottom w:val="0"/>
                              <w:divBdr>
                                <w:top w:val="none" w:sz="0" w:space="0" w:color="auto"/>
                                <w:left w:val="none" w:sz="0" w:space="0" w:color="auto"/>
                                <w:bottom w:val="none" w:sz="0" w:space="0" w:color="auto"/>
                                <w:right w:val="none" w:sz="0" w:space="0" w:color="auto"/>
                              </w:divBdr>
                              <w:divsChild>
                                <w:div w:id="1525899302">
                                  <w:marLeft w:val="0"/>
                                  <w:marRight w:val="150"/>
                                  <w:marTop w:val="0"/>
                                  <w:marBottom w:val="0"/>
                                  <w:divBdr>
                                    <w:top w:val="none" w:sz="0" w:space="0" w:color="auto"/>
                                    <w:left w:val="none" w:sz="0" w:space="0" w:color="auto"/>
                                    <w:bottom w:val="none" w:sz="0" w:space="0" w:color="auto"/>
                                    <w:right w:val="none" w:sz="0" w:space="0" w:color="auto"/>
                                  </w:divBdr>
                                  <w:divsChild>
                                    <w:div w:id="1028605560">
                                      <w:marLeft w:val="0"/>
                                      <w:marRight w:val="150"/>
                                      <w:marTop w:val="0"/>
                                      <w:marBottom w:val="0"/>
                                      <w:divBdr>
                                        <w:top w:val="single" w:sz="6" w:space="4" w:color="CCCCCC"/>
                                        <w:left w:val="none" w:sz="0" w:space="0" w:color="auto"/>
                                        <w:bottom w:val="none" w:sz="0" w:space="0" w:color="auto"/>
                                        <w:right w:val="none" w:sz="0" w:space="0" w:color="auto"/>
                                      </w:divBdr>
                                      <w:divsChild>
                                        <w:div w:id="1114207518">
                                          <w:marLeft w:val="150"/>
                                          <w:marRight w:val="0"/>
                                          <w:marTop w:val="0"/>
                                          <w:marBottom w:val="150"/>
                                          <w:divBdr>
                                            <w:top w:val="none" w:sz="0" w:space="0" w:color="auto"/>
                                            <w:left w:val="none" w:sz="0" w:space="0" w:color="auto"/>
                                            <w:bottom w:val="none" w:sz="0" w:space="0" w:color="auto"/>
                                            <w:right w:val="none" w:sz="0" w:space="0" w:color="auto"/>
                                          </w:divBdr>
                                        </w:div>
                                        <w:div w:id="795759196">
                                          <w:marLeft w:val="0"/>
                                          <w:marRight w:val="0"/>
                                          <w:marTop w:val="0"/>
                                          <w:marBottom w:val="0"/>
                                          <w:divBdr>
                                            <w:top w:val="none" w:sz="0" w:space="0" w:color="auto"/>
                                            <w:left w:val="none" w:sz="0" w:space="0" w:color="auto"/>
                                            <w:bottom w:val="none" w:sz="0" w:space="0" w:color="auto"/>
                                            <w:right w:val="none" w:sz="0" w:space="0" w:color="auto"/>
                                          </w:divBdr>
                                          <w:divsChild>
                                            <w:div w:id="695080752">
                                              <w:blockQuote w:val="1"/>
                                              <w:marLeft w:val="0"/>
                                              <w:marRight w:val="300"/>
                                              <w:marTop w:val="75"/>
                                              <w:marBottom w:val="75"/>
                                              <w:divBdr>
                                                <w:top w:val="none" w:sz="0" w:space="8" w:color="auto"/>
                                                <w:left w:val="single" w:sz="24" w:space="8" w:color="EDEDED"/>
                                                <w:bottom w:val="none" w:sz="0" w:space="0" w:color="auto"/>
                                                <w:right w:val="none" w:sz="0" w:space="0" w:color="auto"/>
                                              </w:divBdr>
                                            </w:div>
                                            <w:div w:id="502358020">
                                              <w:blockQuote w:val="1"/>
                                              <w:marLeft w:val="0"/>
                                              <w:marRight w:val="300"/>
                                              <w:marTop w:val="75"/>
                                              <w:marBottom w:val="75"/>
                                              <w:divBdr>
                                                <w:top w:val="none" w:sz="0" w:space="8" w:color="auto"/>
                                                <w:left w:val="single" w:sz="24" w:space="8" w:color="EDEDED"/>
                                                <w:bottom w:val="none" w:sz="0" w:space="0" w:color="auto"/>
                                                <w:right w:val="none" w:sz="0" w:space="0" w:color="auto"/>
                                              </w:divBdr>
                                            </w:div>
                                          </w:divsChild>
                                        </w:div>
                                      </w:divsChild>
                                    </w:div>
                                    <w:div w:id="1387997606">
                                      <w:marLeft w:val="7350"/>
                                      <w:marRight w:val="0"/>
                                      <w:marTop w:val="0"/>
                                      <w:marBottom w:val="0"/>
                                      <w:divBdr>
                                        <w:top w:val="single" w:sz="6" w:space="4" w:color="CCCCCC"/>
                                        <w:left w:val="none" w:sz="0" w:space="0" w:color="auto"/>
                                        <w:bottom w:val="none" w:sz="0" w:space="0" w:color="auto"/>
                                        <w:right w:val="none" w:sz="0" w:space="0" w:color="auto"/>
                                      </w:divBdr>
                                      <w:divsChild>
                                        <w:div w:id="1119490595">
                                          <w:marLeft w:val="0"/>
                                          <w:marRight w:val="0"/>
                                          <w:marTop w:val="0"/>
                                          <w:marBottom w:val="0"/>
                                          <w:divBdr>
                                            <w:top w:val="none" w:sz="0" w:space="0" w:color="auto"/>
                                            <w:left w:val="none" w:sz="0" w:space="0" w:color="auto"/>
                                            <w:bottom w:val="none" w:sz="0" w:space="0" w:color="auto"/>
                                            <w:right w:val="none" w:sz="0" w:space="0" w:color="auto"/>
                                          </w:divBdr>
                                          <w:divsChild>
                                            <w:div w:id="107242079">
                                              <w:marLeft w:val="0"/>
                                              <w:marRight w:val="0"/>
                                              <w:marTop w:val="0"/>
                                              <w:marBottom w:val="75"/>
                                              <w:divBdr>
                                                <w:top w:val="none" w:sz="0" w:space="0" w:color="auto"/>
                                                <w:left w:val="none" w:sz="0" w:space="0" w:color="auto"/>
                                                <w:bottom w:val="single" w:sz="6" w:space="4" w:color="CCCCCC"/>
                                                <w:right w:val="none" w:sz="0" w:space="0" w:color="auto"/>
                                              </w:divBdr>
                                              <w:divsChild>
                                                <w:div w:id="39786082">
                                                  <w:marLeft w:val="0"/>
                                                  <w:marRight w:val="0"/>
                                                  <w:marTop w:val="0"/>
                                                  <w:marBottom w:val="75"/>
                                                  <w:divBdr>
                                                    <w:top w:val="none" w:sz="0" w:space="0" w:color="auto"/>
                                                    <w:left w:val="none" w:sz="0" w:space="0" w:color="auto"/>
                                                    <w:bottom w:val="none" w:sz="0" w:space="0" w:color="auto"/>
                                                    <w:right w:val="none" w:sz="0" w:space="0" w:color="auto"/>
                                                  </w:divBdr>
                                                </w:div>
                                                <w:div w:id="768618643">
                                                  <w:marLeft w:val="150"/>
                                                  <w:marRight w:val="150"/>
                                                  <w:marTop w:val="120"/>
                                                  <w:marBottom w:val="120"/>
                                                  <w:divBdr>
                                                    <w:top w:val="none" w:sz="0" w:space="0" w:color="auto"/>
                                                    <w:left w:val="none" w:sz="0" w:space="0" w:color="auto"/>
                                                    <w:bottom w:val="none" w:sz="0" w:space="0" w:color="auto"/>
                                                    <w:right w:val="none" w:sz="0" w:space="0" w:color="auto"/>
                                                  </w:divBdr>
                                                </w:div>
                                                <w:div w:id="553155262">
                                                  <w:marLeft w:val="150"/>
                                                  <w:marRight w:val="150"/>
                                                  <w:marTop w:val="120"/>
                                                  <w:marBottom w:val="120"/>
                                                  <w:divBdr>
                                                    <w:top w:val="none" w:sz="0" w:space="0" w:color="auto"/>
                                                    <w:left w:val="none" w:sz="0" w:space="0" w:color="auto"/>
                                                    <w:bottom w:val="none" w:sz="0" w:space="0" w:color="auto"/>
                                                    <w:right w:val="none" w:sz="0" w:space="0" w:color="auto"/>
                                                  </w:divBdr>
                                                </w:div>
                                              </w:divsChild>
                                            </w:div>
                                            <w:div w:id="1047486797">
                                              <w:marLeft w:val="0"/>
                                              <w:marRight w:val="0"/>
                                              <w:marTop w:val="0"/>
                                              <w:marBottom w:val="75"/>
                                              <w:divBdr>
                                                <w:top w:val="none" w:sz="0" w:space="0" w:color="auto"/>
                                                <w:left w:val="none" w:sz="0" w:space="0" w:color="auto"/>
                                                <w:bottom w:val="single" w:sz="6" w:space="4" w:color="CCCCCC"/>
                                                <w:right w:val="none" w:sz="0" w:space="0" w:color="auto"/>
                                              </w:divBdr>
                                              <w:divsChild>
                                                <w:div w:id="1840541342">
                                                  <w:marLeft w:val="0"/>
                                                  <w:marRight w:val="0"/>
                                                  <w:marTop w:val="0"/>
                                                  <w:marBottom w:val="75"/>
                                                  <w:divBdr>
                                                    <w:top w:val="none" w:sz="0" w:space="0" w:color="auto"/>
                                                    <w:left w:val="none" w:sz="0" w:space="0" w:color="auto"/>
                                                    <w:bottom w:val="none" w:sz="0" w:space="0" w:color="auto"/>
                                                    <w:right w:val="none" w:sz="0" w:space="0" w:color="auto"/>
                                                  </w:divBdr>
                                                </w:div>
                                                <w:div w:id="500439107">
                                                  <w:marLeft w:val="0"/>
                                                  <w:marRight w:val="0"/>
                                                  <w:marTop w:val="0"/>
                                                  <w:marBottom w:val="0"/>
                                                  <w:divBdr>
                                                    <w:top w:val="none" w:sz="0" w:space="0" w:color="auto"/>
                                                    <w:left w:val="none" w:sz="0" w:space="0" w:color="auto"/>
                                                    <w:bottom w:val="none" w:sz="0" w:space="0" w:color="auto"/>
                                                    <w:right w:val="none" w:sz="0" w:space="0" w:color="auto"/>
                                                  </w:divBdr>
                                                </w:div>
                                              </w:divsChild>
                                            </w:div>
                                            <w:div w:id="835875364">
                                              <w:marLeft w:val="0"/>
                                              <w:marRight w:val="0"/>
                                              <w:marTop w:val="0"/>
                                              <w:marBottom w:val="75"/>
                                              <w:divBdr>
                                                <w:top w:val="none" w:sz="0" w:space="0" w:color="auto"/>
                                                <w:left w:val="none" w:sz="0" w:space="0" w:color="auto"/>
                                                <w:bottom w:val="single" w:sz="6" w:space="4" w:color="CCCCCC"/>
                                                <w:right w:val="none" w:sz="0" w:space="0" w:color="auto"/>
                                              </w:divBdr>
                                              <w:divsChild>
                                                <w:div w:id="2065565598">
                                                  <w:marLeft w:val="0"/>
                                                  <w:marRight w:val="0"/>
                                                  <w:marTop w:val="0"/>
                                                  <w:marBottom w:val="75"/>
                                                  <w:divBdr>
                                                    <w:top w:val="none" w:sz="0" w:space="0" w:color="auto"/>
                                                    <w:left w:val="none" w:sz="0" w:space="0" w:color="auto"/>
                                                    <w:bottom w:val="none" w:sz="0" w:space="0" w:color="auto"/>
                                                    <w:right w:val="none" w:sz="0" w:space="0" w:color="auto"/>
                                                  </w:divBdr>
                                                </w:div>
                                                <w:div w:id="1625843720">
                                                  <w:marLeft w:val="0"/>
                                                  <w:marRight w:val="0"/>
                                                  <w:marTop w:val="0"/>
                                                  <w:marBottom w:val="0"/>
                                                  <w:divBdr>
                                                    <w:top w:val="none" w:sz="0" w:space="0" w:color="auto"/>
                                                    <w:left w:val="none" w:sz="0" w:space="0" w:color="auto"/>
                                                    <w:bottom w:val="none" w:sz="0" w:space="0" w:color="auto"/>
                                                    <w:right w:val="none" w:sz="0" w:space="0" w:color="auto"/>
                                                  </w:divBdr>
                                                </w:div>
                                              </w:divsChild>
                                            </w:div>
                                            <w:div w:id="993335690">
                                              <w:marLeft w:val="0"/>
                                              <w:marRight w:val="0"/>
                                              <w:marTop w:val="0"/>
                                              <w:marBottom w:val="75"/>
                                              <w:divBdr>
                                                <w:top w:val="none" w:sz="0" w:space="0" w:color="auto"/>
                                                <w:left w:val="none" w:sz="0" w:space="0" w:color="auto"/>
                                                <w:bottom w:val="single" w:sz="6" w:space="4" w:color="CCCCCC"/>
                                                <w:right w:val="none" w:sz="0" w:space="0" w:color="auto"/>
                                              </w:divBdr>
                                              <w:divsChild>
                                                <w:div w:id="188501693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12206407">
                                  <w:marLeft w:val="0"/>
                                  <w:marRight w:val="0"/>
                                  <w:marTop w:val="0"/>
                                  <w:marBottom w:val="0"/>
                                  <w:divBdr>
                                    <w:top w:val="single" w:sz="6" w:space="5" w:color="CCCCCC"/>
                                    <w:left w:val="none" w:sz="0" w:space="5" w:color="auto"/>
                                    <w:bottom w:val="none" w:sz="0" w:space="14" w:color="auto"/>
                                    <w:right w:val="none" w:sz="0" w:space="5" w:color="auto"/>
                                  </w:divBdr>
                                  <w:divsChild>
                                    <w:div w:id="94804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4226">
                              <w:marLeft w:val="0"/>
                              <w:marRight w:val="0"/>
                              <w:marTop w:val="0"/>
                              <w:marBottom w:val="0"/>
                              <w:divBdr>
                                <w:top w:val="none" w:sz="0" w:space="0" w:color="auto"/>
                                <w:left w:val="none" w:sz="0" w:space="0" w:color="auto"/>
                                <w:bottom w:val="none" w:sz="0" w:space="0" w:color="auto"/>
                                <w:right w:val="none" w:sz="0" w:space="0" w:color="auto"/>
                              </w:divBdr>
                              <w:divsChild>
                                <w:div w:id="2111966977">
                                  <w:marLeft w:val="0"/>
                                  <w:marRight w:val="0"/>
                                  <w:marTop w:val="0"/>
                                  <w:marBottom w:val="0"/>
                                  <w:divBdr>
                                    <w:top w:val="none" w:sz="0" w:space="0" w:color="auto"/>
                                    <w:left w:val="none" w:sz="0" w:space="0" w:color="auto"/>
                                    <w:bottom w:val="none" w:sz="0" w:space="0" w:color="auto"/>
                                    <w:right w:val="none" w:sz="0" w:space="0" w:color="auto"/>
                                  </w:divBdr>
                                  <w:divsChild>
                                    <w:div w:id="703363848">
                                      <w:marLeft w:val="0"/>
                                      <w:marRight w:val="0"/>
                                      <w:marTop w:val="0"/>
                                      <w:marBottom w:val="0"/>
                                      <w:divBdr>
                                        <w:top w:val="single" w:sz="6" w:space="8" w:color="CCCCCC"/>
                                        <w:left w:val="single" w:sz="6" w:space="8" w:color="CCCCCC"/>
                                        <w:bottom w:val="single" w:sz="6" w:space="8" w:color="CCCCCC"/>
                                        <w:right w:val="single" w:sz="6" w:space="8" w:color="CCCCCC"/>
                                      </w:divBdr>
                                      <w:divsChild>
                                        <w:div w:id="10028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161898">
                              <w:marLeft w:val="0"/>
                              <w:marRight w:val="0"/>
                              <w:marTop w:val="0"/>
                              <w:marBottom w:val="0"/>
                              <w:divBdr>
                                <w:top w:val="none" w:sz="0" w:space="0" w:color="auto"/>
                                <w:left w:val="none" w:sz="0" w:space="0" w:color="auto"/>
                                <w:bottom w:val="none" w:sz="0" w:space="0" w:color="auto"/>
                                <w:right w:val="none" w:sz="0" w:space="0" w:color="auto"/>
                              </w:divBdr>
                              <w:divsChild>
                                <w:div w:id="19188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04239">
                          <w:marLeft w:val="0"/>
                          <w:marRight w:val="0"/>
                          <w:marTop w:val="0"/>
                          <w:marBottom w:val="0"/>
                          <w:divBdr>
                            <w:top w:val="none" w:sz="0" w:space="0" w:color="auto"/>
                            <w:left w:val="none" w:sz="0" w:space="0" w:color="auto"/>
                            <w:bottom w:val="none" w:sz="0" w:space="0" w:color="auto"/>
                            <w:right w:val="none" w:sz="0" w:space="0" w:color="auto"/>
                          </w:divBdr>
                          <w:divsChild>
                            <w:div w:id="1507285209">
                              <w:marLeft w:val="0"/>
                              <w:marRight w:val="0"/>
                              <w:marTop w:val="0"/>
                              <w:marBottom w:val="150"/>
                              <w:divBdr>
                                <w:top w:val="none" w:sz="0" w:space="0" w:color="auto"/>
                                <w:left w:val="none" w:sz="0" w:space="0" w:color="auto"/>
                                <w:bottom w:val="single" w:sz="6" w:space="8" w:color="CCCCCC"/>
                                <w:right w:val="none" w:sz="0" w:space="0" w:color="auto"/>
                              </w:divBdr>
                            </w:div>
                            <w:div w:id="921795202">
                              <w:marLeft w:val="0"/>
                              <w:marRight w:val="0"/>
                              <w:marTop w:val="75"/>
                              <w:marBottom w:val="150"/>
                              <w:divBdr>
                                <w:top w:val="none" w:sz="0" w:space="0" w:color="auto"/>
                                <w:left w:val="none" w:sz="0" w:space="0" w:color="auto"/>
                                <w:bottom w:val="none" w:sz="0" w:space="0" w:color="auto"/>
                                <w:right w:val="none" w:sz="0" w:space="0" w:color="auto"/>
                              </w:divBdr>
                              <w:divsChild>
                                <w:div w:id="782381591">
                                  <w:marLeft w:val="0"/>
                                  <w:marRight w:val="0"/>
                                  <w:marTop w:val="0"/>
                                  <w:marBottom w:val="0"/>
                                  <w:divBdr>
                                    <w:top w:val="single" w:sz="6" w:space="2" w:color="CCCCCC"/>
                                    <w:left w:val="single" w:sz="6" w:space="0" w:color="CCCCCC"/>
                                    <w:bottom w:val="single" w:sz="6" w:space="2" w:color="CCCCCC"/>
                                    <w:right w:val="single" w:sz="6" w:space="0" w:color="CCCCCC"/>
                                  </w:divBdr>
                                </w:div>
                              </w:divsChild>
                            </w:div>
                            <w:div w:id="1865364255">
                              <w:marLeft w:val="0"/>
                              <w:marRight w:val="0"/>
                              <w:marTop w:val="0"/>
                              <w:marBottom w:val="150"/>
                              <w:divBdr>
                                <w:top w:val="none" w:sz="0" w:space="0" w:color="auto"/>
                                <w:left w:val="none" w:sz="0" w:space="0" w:color="auto"/>
                                <w:bottom w:val="single" w:sz="6" w:space="8" w:color="CCCCCC"/>
                                <w:right w:val="none" w:sz="0" w:space="0" w:color="auto"/>
                              </w:divBdr>
                              <w:divsChild>
                                <w:div w:id="303388414">
                                  <w:marLeft w:val="0"/>
                                  <w:marRight w:val="0"/>
                                  <w:marTop w:val="0"/>
                                  <w:marBottom w:val="0"/>
                                  <w:divBdr>
                                    <w:top w:val="none" w:sz="0" w:space="0" w:color="auto"/>
                                    <w:left w:val="none" w:sz="0" w:space="0" w:color="auto"/>
                                    <w:bottom w:val="none" w:sz="0" w:space="0" w:color="auto"/>
                                    <w:right w:val="none" w:sz="0" w:space="0" w:color="auto"/>
                                  </w:divBdr>
                                  <w:divsChild>
                                    <w:div w:id="175272738">
                                      <w:marLeft w:val="0"/>
                                      <w:marRight w:val="0"/>
                                      <w:marTop w:val="0"/>
                                      <w:marBottom w:val="0"/>
                                      <w:divBdr>
                                        <w:top w:val="none" w:sz="0" w:space="0" w:color="auto"/>
                                        <w:left w:val="none" w:sz="0" w:space="0" w:color="auto"/>
                                        <w:bottom w:val="none" w:sz="0" w:space="0" w:color="auto"/>
                                        <w:right w:val="none" w:sz="0" w:space="0" w:color="auto"/>
                                      </w:divBdr>
                                    </w:div>
                                    <w:div w:id="1193811030">
                                      <w:marLeft w:val="0"/>
                                      <w:marRight w:val="0"/>
                                      <w:marTop w:val="0"/>
                                      <w:marBottom w:val="0"/>
                                      <w:divBdr>
                                        <w:top w:val="none" w:sz="0" w:space="0" w:color="auto"/>
                                        <w:left w:val="none" w:sz="0" w:space="0" w:color="auto"/>
                                        <w:bottom w:val="none" w:sz="0" w:space="0" w:color="auto"/>
                                        <w:right w:val="none" w:sz="0" w:space="0" w:color="auto"/>
                                      </w:divBdr>
                                      <w:divsChild>
                                        <w:div w:id="1323698233">
                                          <w:marLeft w:val="75"/>
                                          <w:marRight w:val="75"/>
                                          <w:marTop w:val="75"/>
                                          <w:marBottom w:val="75"/>
                                          <w:divBdr>
                                            <w:top w:val="single" w:sz="6" w:space="8" w:color="F3F3F3"/>
                                            <w:left w:val="single" w:sz="6" w:space="4" w:color="F3F3F3"/>
                                            <w:bottom w:val="single" w:sz="6" w:space="8" w:color="F3F3F3"/>
                                            <w:right w:val="single" w:sz="6" w:space="4" w:color="F3F3F3"/>
                                          </w:divBdr>
                                          <w:divsChild>
                                            <w:div w:id="1856649797">
                                              <w:marLeft w:val="0"/>
                                              <w:marRight w:val="0"/>
                                              <w:marTop w:val="0"/>
                                              <w:marBottom w:val="0"/>
                                              <w:divBdr>
                                                <w:top w:val="none" w:sz="0" w:space="0" w:color="auto"/>
                                                <w:left w:val="none" w:sz="0" w:space="0" w:color="auto"/>
                                                <w:bottom w:val="none" w:sz="0" w:space="0" w:color="auto"/>
                                                <w:right w:val="none" w:sz="0" w:space="0" w:color="auto"/>
                                              </w:divBdr>
                                              <w:divsChild>
                                                <w:div w:id="2125807840">
                                                  <w:marLeft w:val="0"/>
                                                  <w:marRight w:val="0"/>
                                                  <w:marTop w:val="0"/>
                                                  <w:marBottom w:val="0"/>
                                                  <w:divBdr>
                                                    <w:top w:val="none" w:sz="0" w:space="0" w:color="auto"/>
                                                    <w:left w:val="none" w:sz="0" w:space="0" w:color="auto"/>
                                                    <w:bottom w:val="none" w:sz="0" w:space="0" w:color="auto"/>
                                                    <w:right w:val="none" w:sz="0" w:space="0" w:color="auto"/>
                                                  </w:divBdr>
                                                </w:div>
                                              </w:divsChild>
                                            </w:div>
                                            <w:div w:id="1883322908">
                                              <w:marLeft w:val="150"/>
                                              <w:marRight w:val="0"/>
                                              <w:marTop w:val="0"/>
                                              <w:marBottom w:val="0"/>
                                              <w:divBdr>
                                                <w:top w:val="none" w:sz="0" w:space="0" w:color="auto"/>
                                                <w:left w:val="none" w:sz="0" w:space="0" w:color="auto"/>
                                                <w:bottom w:val="none" w:sz="0" w:space="0" w:color="auto"/>
                                                <w:right w:val="none" w:sz="0" w:space="0" w:color="auto"/>
                                              </w:divBdr>
                                            </w:div>
                                          </w:divsChild>
                                        </w:div>
                                        <w:div w:id="1754353114">
                                          <w:marLeft w:val="75"/>
                                          <w:marRight w:val="75"/>
                                          <w:marTop w:val="75"/>
                                          <w:marBottom w:val="75"/>
                                          <w:divBdr>
                                            <w:top w:val="single" w:sz="6" w:space="8" w:color="F3F3F3"/>
                                            <w:left w:val="single" w:sz="6" w:space="4" w:color="F3F3F3"/>
                                            <w:bottom w:val="single" w:sz="6" w:space="8" w:color="F3F3F3"/>
                                            <w:right w:val="single" w:sz="6" w:space="4" w:color="F3F3F3"/>
                                          </w:divBdr>
                                          <w:divsChild>
                                            <w:div w:id="107625443">
                                              <w:marLeft w:val="0"/>
                                              <w:marRight w:val="0"/>
                                              <w:marTop w:val="0"/>
                                              <w:marBottom w:val="0"/>
                                              <w:divBdr>
                                                <w:top w:val="none" w:sz="0" w:space="0" w:color="auto"/>
                                                <w:left w:val="none" w:sz="0" w:space="0" w:color="auto"/>
                                                <w:bottom w:val="none" w:sz="0" w:space="0" w:color="auto"/>
                                                <w:right w:val="none" w:sz="0" w:space="0" w:color="auto"/>
                                              </w:divBdr>
                                              <w:divsChild>
                                                <w:div w:id="1815027017">
                                                  <w:marLeft w:val="0"/>
                                                  <w:marRight w:val="0"/>
                                                  <w:marTop w:val="0"/>
                                                  <w:marBottom w:val="0"/>
                                                  <w:divBdr>
                                                    <w:top w:val="none" w:sz="0" w:space="0" w:color="auto"/>
                                                    <w:left w:val="none" w:sz="0" w:space="0" w:color="auto"/>
                                                    <w:bottom w:val="none" w:sz="0" w:space="0" w:color="auto"/>
                                                    <w:right w:val="none" w:sz="0" w:space="0" w:color="auto"/>
                                                  </w:divBdr>
                                                </w:div>
                                              </w:divsChild>
                                            </w:div>
                                            <w:div w:id="491483423">
                                              <w:marLeft w:val="150"/>
                                              <w:marRight w:val="0"/>
                                              <w:marTop w:val="0"/>
                                              <w:marBottom w:val="0"/>
                                              <w:divBdr>
                                                <w:top w:val="none" w:sz="0" w:space="0" w:color="auto"/>
                                                <w:left w:val="none" w:sz="0" w:space="0" w:color="auto"/>
                                                <w:bottom w:val="none" w:sz="0" w:space="0" w:color="auto"/>
                                                <w:right w:val="none" w:sz="0" w:space="0" w:color="auto"/>
                                              </w:divBdr>
                                            </w:div>
                                          </w:divsChild>
                                        </w:div>
                                        <w:div w:id="1057557396">
                                          <w:marLeft w:val="75"/>
                                          <w:marRight w:val="75"/>
                                          <w:marTop w:val="75"/>
                                          <w:marBottom w:val="75"/>
                                          <w:divBdr>
                                            <w:top w:val="single" w:sz="6" w:space="8" w:color="F3F3F3"/>
                                            <w:left w:val="single" w:sz="6" w:space="4" w:color="F3F3F3"/>
                                            <w:bottom w:val="single" w:sz="6" w:space="8" w:color="F3F3F3"/>
                                            <w:right w:val="single" w:sz="6" w:space="4" w:color="F3F3F3"/>
                                          </w:divBdr>
                                          <w:divsChild>
                                            <w:div w:id="1735661475">
                                              <w:marLeft w:val="0"/>
                                              <w:marRight w:val="0"/>
                                              <w:marTop w:val="0"/>
                                              <w:marBottom w:val="0"/>
                                              <w:divBdr>
                                                <w:top w:val="none" w:sz="0" w:space="0" w:color="auto"/>
                                                <w:left w:val="none" w:sz="0" w:space="0" w:color="auto"/>
                                                <w:bottom w:val="none" w:sz="0" w:space="0" w:color="auto"/>
                                                <w:right w:val="none" w:sz="0" w:space="0" w:color="auto"/>
                                              </w:divBdr>
                                              <w:divsChild>
                                                <w:div w:id="1176001775">
                                                  <w:marLeft w:val="0"/>
                                                  <w:marRight w:val="0"/>
                                                  <w:marTop w:val="0"/>
                                                  <w:marBottom w:val="0"/>
                                                  <w:divBdr>
                                                    <w:top w:val="none" w:sz="0" w:space="0" w:color="auto"/>
                                                    <w:left w:val="none" w:sz="0" w:space="0" w:color="auto"/>
                                                    <w:bottom w:val="none" w:sz="0" w:space="0" w:color="auto"/>
                                                    <w:right w:val="none" w:sz="0" w:space="0" w:color="auto"/>
                                                  </w:divBdr>
                                                </w:div>
                                              </w:divsChild>
                                            </w:div>
                                            <w:div w:id="1719358051">
                                              <w:marLeft w:val="150"/>
                                              <w:marRight w:val="0"/>
                                              <w:marTop w:val="0"/>
                                              <w:marBottom w:val="0"/>
                                              <w:divBdr>
                                                <w:top w:val="none" w:sz="0" w:space="0" w:color="auto"/>
                                                <w:left w:val="none" w:sz="0" w:space="0" w:color="auto"/>
                                                <w:bottom w:val="none" w:sz="0" w:space="0" w:color="auto"/>
                                                <w:right w:val="none" w:sz="0" w:space="0" w:color="auto"/>
                                              </w:divBdr>
                                            </w:div>
                                          </w:divsChild>
                                        </w:div>
                                        <w:div w:id="127164582">
                                          <w:marLeft w:val="75"/>
                                          <w:marRight w:val="75"/>
                                          <w:marTop w:val="75"/>
                                          <w:marBottom w:val="75"/>
                                          <w:divBdr>
                                            <w:top w:val="single" w:sz="6" w:space="8" w:color="F3F3F3"/>
                                            <w:left w:val="single" w:sz="6" w:space="4" w:color="F3F3F3"/>
                                            <w:bottom w:val="single" w:sz="6" w:space="8" w:color="F3F3F3"/>
                                            <w:right w:val="single" w:sz="6" w:space="4" w:color="F3F3F3"/>
                                          </w:divBdr>
                                          <w:divsChild>
                                            <w:div w:id="2047869487">
                                              <w:marLeft w:val="0"/>
                                              <w:marRight w:val="0"/>
                                              <w:marTop w:val="0"/>
                                              <w:marBottom w:val="0"/>
                                              <w:divBdr>
                                                <w:top w:val="none" w:sz="0" w:space="0" w:color="auto"/>
                                                <w:left w:val="none" w:sz="0" w:space="0" w:color="auto"/>
                                                <w:bottom w:val="none" w:sz="0" w:space="0" w:color="auto"/>
                                                <w:right w:val="none" w:sz="0" w:space="0" w:color="auto"/>
                                              </w:divBdr>
                                              <w:divsChild>
                                                <w:div w:id="939482702">
                                                  <w:marLeft w:val="0"/>
                                                  <w:marRight w:val="0"/>
                                                  <w:marTop w:val="0"/>
                                                  <w:marBottom w:val="0"/>
                                                  <w:divBdr>
                                                    <w:top w:val="none" w:sz="0" w:space="0" w:color="auto"/>
                                                    <w:left w:val="none" w:sz="0" w:space="0" w:color="auto"/>
                                                    <w:bottom w:val="none" w:sz="0" w:space="0" w:color="auto"/>
                                                    <w:right w:val="none" w:sz="0" w:space="0" w:color="auto"/>
                                                  </w:divBdr>
                                                </w:div>
                                              </w:divsChild>
                                            </w:div>
                                            <w:div w:id="1563324567">
                                              <w:marLeft w:val="150"/>
                                              <w:marRight w:val="0"/>
                                              <w:marTop w:val="0"/>
                                              <w:marBottom w:val="0"/>
                                              <w:divBdr>
                                                <w:top w:val="none" w:sz="0" w:space="0" w:color="auto"/>
                                                <w:left w:val="none" w:sz="0" w:space="0" w:color="auto"/>
                                                <w:bottom w:val="none" w:sz="0" w:space="0" w:color="auto"/>
                                                <w:right w:val="none" w:sz="0" w:space="0" w:color="auto"/>
                                              </w:divBdr>
                                            </w:div>
                                          </w:divsChild>
                                        </w:div>
                                        <w:div w:id="1237783385">
                                          <w:marLeft w:val="75"/>
                                          <w:marRight w:val="75"/>
                                          <w:marTop w:val="75"/>
                                          <w:marBottom w:val="75"/>
                                          <w:divBdr>
                                            <w:top w:val="single" w:sz="6" w:space="8" w:color="F3F3F3"/>
                                            <w:left w:val="single" w:sz="6" w:space="4" w:color="F3F3F3"/>
                                            <w:bottom w:val="none" w:sz="0" w:space="0" w:color="auto"/>
                                            <w:right w:val="single" w:sz="6" w:space="4" w:color="F3F3F3"/>
                                          </w:divBdr>
                                          <w:divsChild>
                                            <w:div w:id="200168611">
                                              <w:marLeft w:val="0"/>
                                              <w:marRight w:val="0"/>
                                              <w:marTop w:val="0"/>
                                              <w:marBottom w:val="0"/>
                                              <w:divBdr>
                                                <w:top w:val="none" w:sz="0" w:space="0" w:color="auto"/>
                                                <w:left w:val="none" w:sz="0" w:space="0" w:color="auto"/>
                                                <w:bottom w:val="none" w:sz="0" w:space="0" w:color="auto"/>
                                                <w:right w:val="none" w:sz="0" w:space="0" w:color="auto"/>
                                              </w:divBdr>
                                              <w:divsChild>
                                                <w:div w:id="1506743161">
                                                  <w:marLeft w:val="0"/>
                                                  <w:marRight w:val="0"/>
                                                  <w:marTop w:val="0"/>
                                                  <w:marBottom w:val="0"/>
                                                  <w:divBdr>
                                                    <w:top w:val="none" w:sz="0" w:space="0" w:color="auto"/>
                                                    <w:left w:val="none" w:sz="0" w:space="0" w:color="auto"/>
                                                    <w:bottom w:val="none" w:sz="0" w:space="0" w:color="auto"/>
                                                    <w:right w:val="none" w:sz="0" w:space="0" w:color="auto"/>
                                                  </w:divBdr>
                                                </w:div>
                                              </w:divsChild>
                                            </w:div>
                                            <w:div w:id="3972457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91034">
                              <w:marLeft w:val="0"/>
                              <w:marRight w:val="0"/>
                              <w:marTop w:val="0"/>
                              <w:marBottom w:val="150"/>
                              <w:divBdr>
                                <w:top w:val="none" w:sz="0" w:space="0" w:color="auto"/>
                                <w:left w:val="none" w:sz="0" w:space="0" w:color="auto"/>
                                <w:bottom w:val="single" w:sz="6" w:space="8" w:color="CCCCCC"/>
                                <w:right w:val="none" w:sz="0" w:space="0" w:color="auto"/>
                              </w:divBdr>
                              <w:divsChild>
                                <w:div w:id="1224026689">
                                  <w:marLeft w:val="0"/>
                                  <w:marRight w:val="0"/>
                                  <w:marTop w:val="0"/>
                                  <w:marBottom w:val="0"/>
                                  <w:divBdr>
                                    <w:top w:val="none" w:sz="0" w:space="0" w:color="auto"/>
                                    <w:left w:val="none" w:sz="0" w:space="0" w:color="auto"/>
                                    <w:bottom w:val="single" w:sz="6" w:space="0" w:color="CCCCCC"/>
                                    <w:right w:val="none" w:sz="0" w:space="0" w:color="auto"/>
                                  </w:divBdr>
                                  <w:divsChild>
                                    <w:div w:id="1639531076">
                                      <w:marLeft w:val="0"/>
                                      <w:marRight w:val="0"/>
                                      <w:marTop w:val="0"/>
                                      <w:marBottom w:val="0"/>
                                      <w:divBdr>
                                        <w:top w:val="none" w:sz="0" w:space="0" w:color="auto"/>
                                        <w:left w:val="none" w:sz="0" w:space="0" w:color="auto"/>
                                        <w:bottom w:val="none" w:sz="0" w:space="0" w:color="auto"/>
                                        <w:right w:val="none" w:sz="0" w:space="0" w:color="auto"/>
                                      </w:divBdr>
                                      <w:divsChild>
                                        <w:div w:id="1885944575">
                                          <w:marLeft w:val="0"/>
                                          <w:marRight w:val="0"/>
                                          <w:marTop w:val="0"/>
                                          <w:marBottom w:val="0"/>
                                          <w:divBdr>
                                            <w:top w:val="single" w:sz="6" w:space="0" w:color="FFFFFF"/>
                                            <w:left w:val="single" w:sz="6" w:space="0" w:color="FFFFFF"/>
                                            <w:bottom w:val="single" w:sz="6" w:space="0" w:color="FFFFFF"/>
                                            <w:right w:val="single" w:sz="6" w:space="0" w:color="FFFFFF"/>
                                          </w:divBdr>
                                          <w:divsChild>
                                            <w:div w:id="46414685">
                                              <w:marLeft w:val="150"/>
                                              <w:marRight w:val="150"/>
                                              <w:marTop w:val="150"/>
                                              <w:marBottom w:val="150"/>
                                              <w:divBdr>
                                                <w:top w:val="none" w:sz="0" w:space="0" w:color="auto"/>
                                                <w:left w:val="none" w:sz="0" w:space="0" w:color="auto"/>
                                                <w:bottom w:val="none" w:sz="0" w:space="0" w:color="auto"/>
                                                <w:right w:val="none" w:sz="0" w:space="0" w:color="auto"/>
                                              </w:divBdr>
                                              <w:divsChild>
                                                <w:div w:id="1551844944">
                                                  <w:marLeft w:val="0"/>
                                                  <w:marRight w:val="0"/>
                                                  <w:marTop w:val="0"/>
                                                  <w:marBottom w:val="75"/>
                                                  <w:divBdr>
                                                    <w:top w:val="none" w:sz="0" w:space="0" w:color="auto"/>
                                                    <w:left w:val="none" w:sz="0" w:space="0" w:color="auto"/>
                                                    <w:bottom w:val="none" w:sz="0" w:space="0" w:color="auto"/>
                                                    <w:right w:val="none" w:sz="0" w:space="0" w:color="auto"/>
                                                  </w:divBdr>
                                                  <w:divsChild>
                                                    <w:div w:id="1065185864">
                                                      <w:marLeft w:val="0"/>
                                                      <w:marRight w:val="0"/>
                                                      <w:marTop w:val="75"/>
                                                      <w:marBottom w:val="75"/>
                                                      <w:divBdr>
                                                        <w:top w:val="none" w:sz="0" w:space="0" w:color="auto"/>
                                                        <w:left w:val="none" w:sz="0" w:space="0" w:color="auto"/>
                                                        <w:bottom w:val="none" w:sz="0" w:space="0" w:color="auto"/>
                                                        <w:right w:val="none" w:sz="0" w:space="0" w:color="auto"/>
                                                      </w:divBdr>
                                                    </w:div>
                                                  </w:divsChild>
                                                </w:div>
                                                <w:div w:id="2124762019">
                                                  <w:marLeft w:val="0"/>
                                                  <w:marRight w:val="0"/>
                                                  <w:marTop w:val="0"/>
                                                  <w:marBottom w:val="75"/>
                                                  <w:divBdr>
                                                    <w:top w:val="dotted" w:sz="6" w:space="0" w:color="CCCCCC"/>
                                                    <w:left w:val="none" w:sz="0" w:space="0" w:color="auto"/>
                                                    <w:bottom w:val="none" w:sz="0" w:space="0" w:color="auto"/>
                                                    <w:right w:val="none" w:sz="0" w:space="0" w:color="auto"/>
                                                  </w:divBdr>
                                                  <w:divsChild>
                                                    <w:div w:id="2038697728">
                                                      <w:marLeft w:val="0"/>
                                                      <w:marRight w:val="0"/>
                                                      <w:marTop w:val="75"/>
                                                      <w:marBottom w:val="75"/>
                                                      <w:divBdr>
                                                        <w:top w:val="none" w:sz="0" w:space="0" w:color="auto"/>
                                                        <w:left w:val="none" w:sz="0" w:space="0" w:color="auto"/>
                                                        <w:bottom w:val="none" w:sz="0" w:space="0" w:color="auto"/>
                                                        <w:right w:val="none" w:sz="0" w:space="0" w:color="auto"/>
                                                      </w:divBdr>
                                                    </w:div>
                                                  </w:divsChild>
                                                </w:div>
                                                <w:div w:id="1447430577">
                                                  <w:marLeft w:val="0"/>
                                                  <w:marRight w:val="0"/>
                                                  <w:marTop w:val="0"/>
                                                  <w:marBottom w:val="75"/>
                                                  <w:divBdr>
                                                    <w:top w:val="dotted" w:sz="6" w:space="0" w:color="CCCCCC"/>
                                                    <w:left w:val="none" w:sz="0" w:space="0" w:color="auto"/>
                                                    <w:bottom w:val="none" w:sz="0" w:space="0" w:color="auto"/>
                                                    <w:right w:val="none" w:sz="0" w:space="0" w:color="auto"/>
                                                  </w:divBdr>
                                                  <w:divsChild>
                                                    <w:div w:id="1517232503">
                                                      <w:marLeft w:val="0"/>
                                                      <w:marRight w:val="0"/>
                                                      <w:marTop w:val="75"/>
                                                      <w:marBottom w:val="75"/>
                                                      <w:divBdr>
                                                        <w:top w:val="none" w:sz="0" w:space="0" w:color="auto"/>
                                                        <w:left w:val="none" w:sz="0" w:space="0" w:color="auto"/>
                                                        <w:bottom w:val="none" w:sz="0" w:space="0" w:color="auto"/>
                                                        <w:right w:val="none" w:sz="0" w:space="0" w:color="auto"/>
                                                      </w:divBdr>
                                                    </w:div>
                                                  </w:divsChild>
                                                </w:div>
                                                <w:div w:id="809597350">
                                                  <w:marLeft w:val="0"/>
                                                  <w:marRight w:val="0"/>
                                                  <w:marTop w:val="0"/>
                                                  <w:marBottom w:val="75"/>
                                                  <w:divBdr>
                                                    <w:top w:val="dotted" w:sz="6" w:space="0" w:color="CCCCCC"/>
                                                    <w:left w:val="none" w:sz="0" w:space="0" w:color="auto"/>
                                                    <w:bottom w:val="none" w:sz="0" w:space="0" w:color="auto"/>
                                                    <w:right w:val="none" w:sz="0" w:space="0" w:color="auto"/>
                                                  </w:divBdr>
                                                  <w:divsChild>
                                                    <w:div w:id="1505587946">
                                                      <w:marLeft w:val="0"/>
                                                      <w:marRight w:val="0"/>
                                                      <w:marTop w:val="75"/>
                                                      <w:marBottom w:val="75"/>
                                                      <w:divBdr>
                                                        <w:top w:val="none" w:sz="0" w:space="0" w:color="auto"/>
                                                        <w:left w:val="none" w:sz="0" w:space="0" w:color="auto"/>
                                                        <w:bottom w:val="none" w:sz="0" w:space="0" w:color="auto"/>
                                                        <w:right w:val="none" w:sz="0" w:space="0" w:color="auto"/>
                                                      </w:divBdr>
                                                    </w:div>
                                                  </w:divsChild>
                                                </w:div>
                                                <w:div w:id="2132943124">
                                                  <w:marLeft w:val="0"/>
                                                  <w:marRight w:val="0"/>
                                                  <w:marTop w:val="0"/>
                                                  <w:marBottom w:val="75"/>
                                                  <w:divBdr>
                                                    <w:top w:val="dotted" w:sz="6" w:space="0" w:color="CCCCCC"/>
                                                    <w:left w:val="none" w:sz="0" w:space="0" w:color="auto"/>
                                                    <w:bottom w:val="dotted" w:sz="6" w:space="0" w:color="CCCCCC"/>
                                                    <w:right w:val="none" w:sz="0" w:space="0" w:color="auto"/>
                                                  </w:divBdr>
                                                  <w:divsChild>
                                                    <w:div w:id="14597842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8935423">
          <w:marLeft w:val="0"/>
          <w:marRight w:val="0"/>
          <w:marTop w:val="0"/>
          <w:marBottom w:val="150"/>
          <w:divBdr>
            <w:top w:val="single" w:sz="6" w:space="0" w:color="CCCCCC"/>
            <w:left w:val="single" w:sz="6" w:space="0" w:color="CCCCCC"/>
            <w:bottom w:val="single" w:sz="6" w:space="0" w:color="CCCCCC"/>
            <w:right w:val="single" w:sz="6" w:space="0" w:color="CCCCCC"/>
          </w:divBdr>
          <w:divsChild>
            <w:div w:id="523708627">
              <w:marLeft w:val="0"/>
              <w:marRight w:val="0"/>
              <w:marTop w:val="30"/>
              <w:marBottom w:val="30"/>
              <w:divBdr>
                <w:top w:val="none" w:sz="0" w:space="0" w:color="auto"/>
                <w:left w:val="none" w:sz="0" w:space="0" w:color="auto"/>
                <w:bottom w:val="none" w:sz="0" w:space="0" w:color="auto"/>
                <w:right w:val="none" w:sz="0" w:space="0" w:color="auto"/>
              </w:divBdr>
              <w:divsChild>
                <w:div w:id="1441487609">
                  <w:marLeft w:val="0"/>
                  <w:marRight w:val="0"/>
                  <w:marTop w:val="0"/>
                  <w:marBottom w:val="0"/>
                  <w:divBdr>
                    <w:top w:val="none" w:sz="0" w:space="0" w:color="auto"/>
                    <w:left w:val="none" w:sz="0" w:space="0" w:color="auto"/>
                    <w:bottom w:val="none" w:sz="0" w:space="0" w:color="auto"/>
                    <w:right w:val="none" w:sz="0" w:space="0" w:color="auto"/>
                  </w:divBdr>
                  <w:divsChild>
                    <w:div w:id="1644383727">
                      <w:marLeft w:val="0"/>
                      <w:marRight w:val="0"/>
                      <w:marTop w:val="0"/>
                      <w:marBottom w:val="0"/>
                      <w:divBdr>
                        <w:top w:val="none" w:sz="0" w:space="0" w:color="auto"/>
                        <w:left w:val="none" w:sz="0" w:space="0" w:color="auto"/>
                        <w:bottom w:val="none" w:sz="0" w:space="0" w:color="auto"/>
                        <w:right w:val="none" w:sz="0" w:space="0" w:color="auto"/>
                      </w:divBdr>
                      <w:divsChild>
                        <w:div w:id="152721423">
                          <w:marLeft w:val="0"/>
                          <w:marRight w:val="0"/>
                          <w:marTop w:val="30"/>
                          <w:marBottom w:val="30"/>
                          <w:divBdr>
                            <w:top w:val="none" w:sz="0" w:space="0" w:color="auto"/>
                            <w:left w:val="none" w:sz="0" w:space="0" w:color="auto"/>
                            <w:bottom w:val="none" w:sz="0" w:space="0" w:color="auto"/>
                            <w:right w:val="none" w:sz="0" w:space="0" w:color="auto"/>
                          </w:divBdr>
                          <w:divsChild>
                            <w:div w:id="268052166">
                              <w:marLeft w:val="0"/>
                              <w:marRight w:val="0"/>
                              <w:marTop w:val="0"/>
                              <w:marBottom w:val="0"/>
                              <w:divBdr>
                                <w:top w:val="none" w:sz="0" w:space="0" w:color="auto"/>
                                <w:left w:val="none" w:sz="0" w:space="0" w:color="auto"/>
                                <w:bottom w:val="none" w:sz="0" w:space="0" w:color="auto"/>
                                <w:right w:val="none" w:sz="0" w:space="0" w:color="auto"/>
                              </w:divBdr>
                              <w:divsChild>
                                <w:div w:id="116864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20093">
              <w:marLeft w:val="0"/>
              <w:marRight w:val="0"/>
              <w:marTop w:val="0"/>
              <w:marBottom w:val="0"/>
              <w:divBdr>
                <w:top w:val="none" w:sz="0" w:space="0" w:color="auto"/>
                <w:left w:val="none" w:sz="0" w:space="0" w:color="auto"/>
                <w:bottom w:val="none" w:sz="0" w:space="0" w:color="auto"/>
                <w:right w:val="none" w:sz="0" w:space="0" w:color="auto"/>
              </w:divBdr>
              <w:divsChild>
                <w:div w:id="317809834">
                  <w:marLeft w:val="0"/>
                  <w:marRight w:val="0"/>
                  <w:marTop w:val="0"/>
                  <w:marBottom w:val="0"/>
                  <w:divBdr>
                    <w:top w:val="none" w:sz="0" w:space="0" w:color="auto"/>
                    <w:left w:val="none" w:sz="0" w:space="0" w:color="auto"/>
                    <w:bottom w:val="none" w:sz="0" w:space="0" w:color="auto"/>
                    <w:right w:val="none" w:sz="0" w:space="0" w:color="auto"/>
                  </w:divBdr>
                  <w:divsChild>
                    <w:div w:id="1365793441">
                      <w:marLeft w:val="0"/>
                      <w:marRight w:val="0"/>
                      <w:marTop w:val="0"/>
                      <w:marBottom w:val="0"/>
                      <w:divBdr>
                        <w:top w:val="none" w:sz="0" w:space="0" w:color="auto"/>
                        <w:left w:val="none" w:sz="0" w:space="0" w:color="auto"/>
                        <w:bottom w:val="none" w:sz="0" w:space="0" w:color="auto"/>
                        <w:right w:val="none" w:sz="0" w:space="0" w:color="auto"/>
                      </w:divBdr>
                      <w:divsChild>
                        <w:div w:id="1751612284">
                          <w:marLeft w:val="0"/>
                          <w:marRight w:val="0"/>
                          <w:marTop w:val="0"/>
                          <w:marBottom w:val="0"/>
                          <w:divBdr>
                            <w:top w:val="none" w:sz="0" w:space="0" w:color="auto"/>
                            <w:left w:val="none" w:sz="0" w:space="0" w:color="auto"/>
                            <w:bottom w:val="none" w:sz="0" w:space="0" w:color="auto"/>
                            <w:right w:val="none" w:sz="0" w:space="0" w:color="auto"/>
                          </w:divBdr>
                        </w:div>
                        <w:div w:id="396560053">
                          <w:marLeft w:val="0"/>
                          <w:marRight w:val="0"/>
                          <w:marTop w:val="0"/>
                          <w:marBottom w:val="0"/>
                          <w:divBdr>
                            <w:top w:val="none" w:sz="0" w:space="0" w:color="auto"/>
                            <w:left w:val="none" w:sz="0" w:space="0" w:color="auto"/>
                            <w:bottom w:val="single" w:sz="6" w:space="0" w:color="CCCCCC"/>
                            <w:right w:val="none" w:sz="0" w:space="0" w:color="auto"/>
                          </w:divBdr>
                        </w:div>
                      </w:divsChild>
                    </w:div>
                    <w:div w:id="1846246299">
                      <w:marLeft w:val="0"/>
                      <w:marRight w:val="0"/>
                      <w:marTop w:val="0"/>
                      <w:marBottom w:val="0"/>
                      <w:divBdr>
                        <w:top w:val="none" w:sz="0" w:space="0" w:color="auto"/>
                        <w:left w:val="none" w:sz="0" w:space="0" w:color="auto"/>
                        <w:bottom w:val="none" w:sz="0" w:space="0" w:color="auto"/>
                        <w:right w:val="none" w:sz="0" w:space="0" w:color="auto"/>
                      </w:divBdr>
                      <w:divsChild>
                        <w:div w:id="1659650786">
                          <w:marLeft w:val="150"/>
                          <w:marRight w:val="150"/>
                          <w:marTop w:val="150"/>
                          <w:marBottom w:val="0"/>
                          <w:divBdr>
                            <w:top w:val="none" w:sz="0" w:space="0" w:color="auto"/>
                            <w:left w:val="none" w:sz="0" w:space="0" w:color="auto"/>
                            <w:bottom w:val="none" w:sz="0" w:space="0" w:color="auto"/>
                            <w:right w:val="none" w:sz="0" w:space="0" w:color="auto"/>
                          </w:divBdr>
                          <w:divsChild>
                            <w:div w:id="6962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evatribuna.es/opinion/edmundo-fayanas-escuer/pagamos-pensiones/20140804094611105724.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uevatribuna.es/media/nuevatribuna/files/2015/01/27/opinion_sobre_la_determinacion_del_indice_revalorizacion_de_las_pensiones_2015.pd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BAD76-417F-4372-A92D-A2F181AC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1399</Words>
  <Characters>7695</Characters>
  <Application>Microsoft Office Word</Application>
  <DocSecurity>0</DocSecurity>
  <Lines>64</Lines>
  <Paragraphs>18</Paragraphs>
  <ScaleCrop>false</ScaleCrop>
  <Company>Hewlett-Packard</Company>
  <LinksUpToDate>false</LinksUpToDate>
  <CharactersWithSpaces>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7</cp:revision>
  <dcterms:created xsi:type="dcterms:W3CDTF">2015-01-29T18:17:00Z</dcterms:created>
  <dcterms:modified xsi:type="dcterms:W3CDTF">2015-01-29T18:24:00Z</dcterms:modified>
</cp:coreProperties>
</file>