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94" w:rsidRPr="00651794" w:rsidRDefault="00651794" w:rsidP="00651794">
      <w:pPr>
        <w:shd w:val="clear" w:color="auto" w:fill="FFFFFF"/>
        <w:spacing w:after="45" w:line="240" w:lineRule="auto"/>
        <w:outlineLvl w:val="0"/>
        <w:rPr>
          <w:rFonts w:ascii="bbva-light" w:eastAsia="Times New Roman" w:hAnsi="bbva-light" w:cs="Arial"/>
          <w:b/>
          <w:color w:val="006EC1"/>
          <w:kern w:val="36"/>
          <w:sz w:val="54"/>
          <w:szCs w:val="54"/>
          <w:u w:val="single"/>
          <w:lang w:eastAsia="es-ES"/>
        </w:rPr>
      </w:pPr>
      <w:r w:rsidRPr="00651794">
        <w:rPr>
          <w:rFonts w:ascii="bbva-light" w:eastAsia="Times New Roman" w:hAnsi="bbva-light" w:cs="Arial"/>
          <w:b/>
          <w:color w:val="006EC1"/>
          <w:kern w:val="36"/>
          <w:sz w:val="54"/>
          <w:szCs w:val="54"/>
          <w:u w:val="single"/>
          <w:lang w:eastAsia="es-ES"/>
        </w:rPr>
        <w:t>¿Pensión media en 726 euros? Los españoles infravaloran las prestaciones</w:t>
      </w:r>
    </w:p>
    <w:p w:rsidR="00651794" w:rsidRDefault="00651794" w:rsidP="00651794">
      <w:pPr>
        <w:shd w:val="clear" w:color="auto" w:fill="FFFFFF"/>
        <w:spacing w:line="240" w:lineRule="auto"/>
        <w:rPr>
          <w:rFonts w:ascii="bbva-light" w:eastAsia="Times New Roman" w:hAnsi="bbva-light" w:cs="Arial"/>
          <w:color w:val="545252"/>
          <w:sz w:val="29"/>
          <w:szCs w:val="29"/>
          <w:lang w:eastAsia="es-ES"/>
        </w:rPr>
      </w:pPr>
    </w:p>
    <w:p w:rsidR="00651794" w:rsidRPr="00651794" w:rsidRDefault="00651794" w:rsidP="00651794">
      <w:pPr>
        <w:shd w:val="clear" w:color="auto" w:fill="FFFFFF"/>
        <w:spacing w:line="240" w:lineRule="auto"/>
        <w:rPr>
          <w:rFonts w:ascii="bbva-light" w:eastAsia="Times New Roman" w:hAnsi="bbva-light" w:cs="Arial"/>
          <w:b/>
          <w:color w:val="545252"/>
          <w:sz w:val="29"/>
          <w:szCs w:val="29"/>
          <w:lang w:eastAsia="es-ES"/>
        </w:rPr>
      </w:pPr>
      <w:r w:rsidRPr="00651794">
        <w:rPr>
          <w:rFonts w:ascii="bbva-light" w:eastAsia="Times New Roman" w:hAnsi="bbva-light" w:cs="Arial"/>
          <w:b/>
          <w:color w:val="545252"/>
          <w:sz w:val="29"/>
          <w:szCs w:val="29"/>
          <w:lang w:eastAsia="es-ES"/>
        </w:rPr>
        <w:t>Este año la pensión media mensual será de 1.010 euros, pero los españoles la sitúan en poco más de 700, según una encuesta del Instituto BBVA de Pensiones.</w:t>
      </w:r>
    </w:p>
    <w:p w:rsidR="00651794" w:rsidRPr="00651794" w:rsidRDefault="00651794" w:rsidP="00651794">
      <w:pPr>
        <w:shd w:val="clear" w:color="auto" w:fill="FFFFFF"/>
        <w:spacing w:after="225" w:line="360" w:lineRule="atLeast"/>
        <w:rPr>
          <w:rFonts w:ascii="Arial" w:eastAsia="Times New Roman" w:hAnsi="Arial" w:cs="Arial"/>
          <w:b/>
          <w:color w:val="545252"/>
          <w:sz w:val="18"/>
          <w:szCs w:val="18"/>
          <w:lang w:eastAsia="es-ES"/>
        </w:rPr>
      </w:pPr>
      <w:r w:rsidRPr="00651794">
        <w:rPr>
          <w:rFonts w:ascii="Arial" w:eastAsia="Times New Roman" w:hAnsi="Arial" w:cs="Arial"/>
          <w:b/>
          <w:color w:val="545252"/>
          <w:sz w:val="18"/>
          <w:szCs w:val="18"/>
          <w:lang w:eastAsia="es-ES"/>
        </w:rPr>
        <w:t>Los españoles creemos que las pensiones de jubilación son menores de lo que realmente son. Así se desprende de los resultados de la</w:t>
      </w:r>
      <w:r w:rsidRPr="00651794">
        <w:rPr>
          <w:rFonts w:ascii="Arial" w:eastAsia="Times New Roman" w:hAnsi="Arial" w:cs="Arial"/>
          <w:b/>
          <w:color w:val="545252"/>
          <w:sz w:val="18"/>
          <w:lang w:eastAsia="es-ES"/>
        </w:rPr>
        <w:t> </w:t>
      </w:r>
      <w:hyperlink r:id="rId5" w:tooltip="Encuesta: Las pensiones y los hábitos de ahorro en España 2014 (pdf, 4577.78 KB)" w:history="1">
        <w:r w:rsidRPr="00651794">
          <w:rPr>
            <w:rFonts w:ascii="Arial" w:eastAsia="Times New Roman" w:hAnsi="Arial" w:cs="Arial"/>
            <w:b/>
            <w:bCs/>
            <w:color w:val="006EC1"/>
            <w:sz w:val="18"/>
            <w:lang w:eastAsia="es-ES"/>
          </w:rPr>
          <w:t>2ª Encuesta sobre la Jubilación y los Hábitos de Ahorro</w:t>
        </w:r>
      </w:hyperlink>
      <w:r w:rsidRPr="00651794">
        <w:rPr>
          <w:rFonts w:ascii="Arial" w:eastAsia="Times New Roman" w:hAnsi="Arial" w:cs="Arial"/>
          <w:b/>
          <w:color w:val="545252"/>
          <w:sz w:val="18"/>
          <w:lang w:eastAsia="es-ES"/>
        </w:rPr>
        <w:t> </w:t>
      </w:r>
      <w:r w:rsidRPr="00651794">
        <w:rPr>
          <w:rFonts w:ascii="Arial" w:eastAsia="Times New Roman" w:hAnsi="Arial" w:cs="Arial"/>
          <w:b/>
          <w:color w:val="545252"/>
          <w:sz w:val="18"/>
          <w:szCs w:val="18"/>
          <w:lang w:eastAsia="es-ES"/>
        </w:rPr>
        <w:t>realizada por el</w:t>
      </w:r>
      <w:r w:rsidRPr="00651794">
        <w:rPr>
          <w:rFonts w:ascii="Arial" w:eastAsia="Times New Roman" w:hAnsi="Arial" w:cs="Arial"/>
          <w:b/>
          <w:bCs/>
          <w:color w:val="545252"/>
          <w:sz w:val="18"/>
          <w:lang w:eastAsia="es-ES"/>
        </w:rPr>
        <w:t> Instituto BBVA de Pensiones.</w:t>
      </w:r>
    </w:p>
    <w:p w:rsidR="00651794" w:rsidRPr="00651794" w:rsidRDefault="00651794" w:rsidP="00651794">
      <w:pPr>
        <w:shd w:val="clear" w:color="auto" w:fill="FFFFFF"/>
        <w:spacing w:after="225" w:line="360" w:lineRule="atLeast"/>
        <w:rPr>
          <w:rFonts w:ascii="Arial" w:eastAsia="Times New Roman" w:hAnsi="Arial" w:cs="Arial"/>
          <w:b/>
          <w:color w:val="545252"/>
          <w:sz w:val="18"/>
          <w:szCs w:val="18"/>
          <w:lang w:eastAsia="es-ES"/>
        </w:rPr>
      </w:pPr>
      <w:r w:rsidRPr="00651794">
        <w:rPr>
          <w:rFonts w:ascii="Arial" w:eastAsia="Times New Roman" w:hAnsi="Arial" w:cs="Arial"/>
          <w:b/>
          <w:color w:val="545252"/>
          <w:sz w:val="18"/>
          <w:szCs w:val="18"/>
          <w:lang w:eastAsia="es-ES"/>
        </w:rPr>
        <w:t>En concreto, la</w:t>
      </w:r>
      <w:r w:rsidRPr="00651794">
        <w:rPr>
          <w:rFonts w:ascii="Arial" w:eastAsia="Times New Roman" w:hAnsi="Arial" w:cs="Arial"/>
          <w:b/>
          <w:bCs/>
          <w:color w:val="545252"/>
          <w:sz w:val="18"/>
          <w:lang w:eastAsia="es-ES"/>
        </w:rPr>
        <w:t> </w:t>
      </w:r>
      <w:r w:rsidRPr="00651794">
        <w:rPr>
          <w:rFonts w:ascii="Arial" w:eastAsia="Times New Roman" w:hAnsi="Arial" w:cs="Arial"/>
          <w:b/>
          <w:color w:val="545252"/>
          <w:sz w:val="18"/>
          <w:szCs w:val="18"/>
          <w:lang w:eastAsia="es-ES"/>
        </w:rPr>
        <w:t>población española consultada sitúa la pensión tipo en torno a los</w:t>
      </w:r>
      <w:r w:rsidRPr="00651794">
        <w:rPr>
          <w:rFonts w:ascii="Arial" w:eastAsia="Times New Roman" w:hAnsi="Arial" w:cs="Arial"/>
          <w:b/>
          <w:bCs/>
          <w:color w:val="545252"/>
          <w:sz w:val="18"/>
          <w:lang w:eastAsia="es-ES"/>
        </w:rPr>
        <w:t>726 euros </w:t>
      </w:r>
      <w:r w:rsidRPr="00651794">
        <w:rPr>
          <w:rFonts w:ascii="Arial" w:eastAsia="Times New Roman" w:hAnsi="Arial" w:cs="Arial"/>
          <w:b/>
          <w:color w:val="545252"/>
          <w:sz w:val="18"/>
          <w:szCs w:val="18"/>
          <w:lang w:eastAsia="es-ES"/>
        </w:rPr>
        <w:t>de</w:t>
      </w:r>
      <w:r w:rsidRPr="00651794">
        <w:rPr>
          <w:rFonts w:ascii="Arial" w:eastAsia="Times New Roman" w:hAnsi="Arial" w:cs="Arial"/>
          <w:b/>
          <w:color w:val="545252"/>
          <w:sz w:val="18"/>
          <w:lang w:eastAsia="es-ES"/>
        </w:rPr>
        <w:t> </w:t>
      </w:r>
      <w:r w:rsidRPr="00651794">
        <w:rPr>
          <w:rFonts w:ascii="Arial" w:eastAsia="Times New Roman" w:hAnsi="Arial" w:cs="Arial"/>
          <w:b/>
          <w:bCs/>
          <w:color w:val="545252"/>
          <w:sz w:val="18"/>
          <w:lang w:eastAsia="es-ES"/>
        </w:rPr>
        <w:t>media, </w:t>
      </w:r>
      <w:r w:rsidRPr="00651794">
        <w:rPr>
          <w:rFonts w:ascii="Arial" w:eastAsia="Times New Roman" w:hAnsi="Arial" w:cs="Arial"/>
          <w:b/>
          <w:color w:val="545252"/>
          <w:sz w:val="18"/>
          <w:szCs w:val="18"/>
          <w:lang w:eastAsia="es-ES"/>
        </w:rPr>
        <w:t>lo que supone un incremento en más de 41 euros sobre lo señalado en la anterior consulta, en la encuesta del año 2013.</w:t>
      </w:r>
      <w:r w:rsidRPr="00651794">
        <w:rPr>
          <w:rFonts w:ascii="Arial" w:eastAsia="Times New Roman" w:hAnsi="Arial" w:cs="Arial"/>
          <w:b/>
          <w:color w:val="545252"/>
          <w:sz w:val="18"/>
          <w:lang w:eastAsia="es-ES"/>
        </w:rPr>
        <w:t> </w:t>
      </w:r>
      <w:r w:rsidRPr="00651794">
        <w:rPr>
          <w:rFonts w:ascii="Arial" w:eastAsia="Times New Roman" w:hAnsi="Arial" w:cs="Arial"/>
          <w:b/>
          <w:bCs/>
          <w:color w:val="545252"/>
          <w:sz w:val="18"/>
          <w:lang w:eastAsia="es-ES"/>
        </w:rPr>
        <w:t>Aunque la percepción de la prestación ha crecido, la cifra no se acerca a la realidad y se sitúa casi un 30% por debajo de la misma</w:t>
      </w:r>
      <w:r w:rsidRPr="00651794">
        <w:rPr>
          <w:rFonts w:ascii="Arial" w:eastAsia="Times New Roman" w:hAnsi="Arial" w:cs="Arial"/>
          <w:b/>
          <w:color w:val="545252"/>
          <w:sz w:val="18"/>
          <w:szCs w:val="18"/>
          <w:lang w:eastAsia="es-ES"/>
        </w:rPr>
        <w:t>.</w:t>
      </w:r>
    </w:p>
    <w:p w:rsidR="00651794" w:rsidRPr="00651794" w:rsidRDefault="00651794" w:rsidP="00651794">
      <w:pPr>
        <w:shd w:val="clear" w:color="auto" w:fill="FFFFFF"/>
        <w:spacing w:after="225" w:line="360" w:lineRule="atLeast"/>
        <w:rPr>
          <w:rFonts w:ascii="Arial" w:eastAsia="Times New Roman" w:hAnsi="Arial" w:cs="Arial"/>
          <w:b/>
          <w:color w:val="545252"/>
          <w:sz w:val="18"/>
          <w:szCs w:val="18"/>
          <w:lang w:eastAsia="es-ES"/>
        </w:rPr>
      </w:pPr>
      <w:r w:rsidRPr="00651794">
        <w:rPr>
          <w:rFonts w:ascii="Arial" w:eastAsia="Times New Roman" w:hAnsi="Arial" w:cs="Arial"/>
          <w:b/>
          <w:color w:val="545252"/>
          <w:sz w:val="18"/>
          <w:szCs w:val="18"/>
          <w:lang w:eastAsia="es-ES"/>
        </w:rPr>
        <w:t>Así, los españoles estiman la pensión media en 726 euros cuando en realidad, la prestación de jubilación media en España, de carácter mensual, se situaba en 1.008 euros en diciembre del año pasado y, tras la aplicación del factor de revalorización que permite una subida de las pensiones este año de otro 0,25%, la pensión se situará en torno a los 1.010 euros, unos 2,5 euros por encima de la cifra del año pasado.</w:t>
      </w:r>
    </w:p>
    <w:p w:rsidR="00651794" w:rsidRPr="00651794" w:rsidRDefault="00651794" w:rsidP="00651794">
      <w:pPr>
        <w:shd w:val="clear" w:color="auto" w:fill="FFFFFF"/>
        <w:spacing w:after="150" w:line="240" w:lineRule="auto"/>
        <w:outlineLvl w:val="1"/>
        <w:rPr>
          <w:rFonts w:ascii="bbva-light" w:eastAsia="Times New Roman" w:hAnsi="bbva-light" w:cs="Arial"/>
          <w:b/>
          <w:color w:val="006EC1"/>
          <w:sz w:val="45"/>
          <w:szCs w:val="45"/>
          <w:lang w:eastAsia="es-ES"/>
        </w:rPr>
      </w:pPr>
      <w:r w:rsidRPr="00651794">
        <w:rPr>
          <w:rFonts w:ascii="bbva-light" w:eastAsia="Times New Roman" w:hAnsi="bbva-light" w:cs="Arial"/>
          <w:b/>
          <w:color w:val="006EC1"/>
          <w:sz w:val="45"/>
          <w:szCs w:val="45"/>
          <w:lang w:eastAsia="es-ES"/>
        </w:rPr>
        <w:t>Más de 800 euros...</w:t>
      </w:r>
      <w:r w:rsidRPr="00651794">
        <w:rPr>
          <w:rFonts w:ascii="bbva-light" w:eastAsia="Times New Roman" w:hAnsi="bbva-light" w:cs="Arial"/>
          <w:b/>
          <w:color w:val="006EC1"/>
          <w:sz w:val="45"/>
          <w:lang w:eastAsia="es-ES"/>
        </w:rPr>
        <w:t> </w:t>
      </w:r>
    </w:p>
    <w:p w:rsidR="00651794" w:rsidRPr="00651794" w:rsidRDefault="00651794" w:rsidP="00651794">
      <w:pPr>
        <w:shd w:val="clear" w:color="auto" w:fill="FFFFFF"/>
        <w:spacing w:after="225" w:line="360" w:lineRule="atLeast"/>
        <w:rPr>
          <w:rFonts w:ascii="Arial" w:eastAsia="Times New Roman" w:hAnsi="Arial" w:cs="Arial"/>
          <w:b/>
          <w:color w:val="545252"/>
          <w:sz w:val="18"/>
          <w:szCs w:val="18"/>
          <w:lang w:eastAsia="es-ES"/>
        </w:rPr>
      </w:pPr>
      <w:r w:rsidRPr="00651794">
        <w:rPr>
          <w:rFonts w:ascii="Arial" w:eastAsia="Times New Roman" w:hAnsi="Arial" w:cs="Arial"/>
          <w:b/>
          <w:color w:val="545252"/>
          <w:sz w:val="18"/>
          <w:szCs w:val="18"/>
          <w:lang w:eastAsia="es-ES"/>
        </w:rPr>
        <w:t>En concreto, solo dos de cada diez españoles acertaron al situar la pensión media por encima de los 800 euros al mes. El 30% la situó entre 600 y 800 euros, otro 20% entre 500 y 600 euros y un 17% de los españoles la situó por debajo de los 500 euros.</w:t>
      </w:r>
    </w:p>
    <w:p w:rsidR="00651794" w:rsidRPr="00651794" w:rsidRDefault="00651794" w:rsidP="00651794">
      <w:pPr>
        <w:shd w:val="clear" w:color="auto" w:fill="FFFFFF"/>
        <w:spacing w:after="150" w:line="240" w:lineRule="auto"/>
        <w:outlineLvl w:val="1"/>
        <w:rPr>
          <w:rFonts w:ascii="bbva-light" w:eastAsia="Times New Roman" w:hAnsi="bbva-light" w:cs="Arial"/>
          <w:b/>
          <w:color w:val="006EC1"/>
          <w:sz w:val="45"/>
          <w:szCs w:val="45"/>
          <w:lang w:eastAsia="es-ES"/>
        </w:rPr>
      </w:pPr>
      <w:r w:rsidRPr="00651794">
        <w:rPr>
          <w:rFonts w:ascii="bbva-light" w:eastAsia="Times New Roman" w:hAnsi="bbva-light" w:cs="Arial"/>
          <w:b/>
          <w:color w:val="006EC1"/>
          <w:sz w:val="45"/>
          <w:szCs w:val="45"/>
          <w:lang w:eastAsia="es-ES"/>
        </w:rPr>
        <w:t>¿Quién acierta más?</w:t>
      </w:r>
    </w:p>
    <w:p w:rsidR="00651794" w:rsidRPr="00651794" w:rsidRDefault="00651794" w:rsidP="00651794">
      <w:pPr>
        <w:shd w:val="clear" w:color="auto" w:fill="FFFFFF"/>
        <w:spacing w:after="225" w:line="360" w:lineRule="atLeast"/>
        <w:rPr>
          <w:rFonts w:ascii="Arial" w:eastAsia="Times New Roman" w:hAnsi="Arial" w:cs="Arial"/>
          <w:b/>
          <w:color w:val="545252"/>
          <w:sz w:val="18"/>
          <w:szCs w:val="18"/>
          <w:lang w:eastAsia="es-ES"/>
        </w:rPr>
      </w:pPr>
      <w:r w:rsidRPr="00651794">
        <w:rPr>
          <w:rFonts w:ascii="Arial" w:eastAsia="Times New Roman" w:hAnsi="Arial" w:cs="Arial"/>
          <w:b/>
          <w:color w:val="545252"/>
          <w:sz w:val="18"/>
          <w:szCs w:val="18"/>
          <w:lang w:eastAsia="es-ES"/>
        </w:rPr>
        <w:t>Por sexos, las mujeres situaron la pensión media aún más por debajo de los hombres (en 687 euros frente a los 765 de los hombres) y, por edades, los más acertados fueron los más mayores: los jóvenes de 18 a 25 años la situaron en 621 euros y los de 26 a 35, en cerca de 676 euros al mes. El resto la situó por encima de los 700 euros (743 los de 36 a 45 años; 773 euros los de edades comprendidas entre 46 y 55 años; y en casi 790 euros los mayores de 56 y menores de 65 años). La percepción de la pensión también es mayor entre las personas que trabajan fuera del hogar (que la situaron en 760 euros frente a los 670 del resto).</w:t>
      </w:r>
    </w:p>
    <w:p w:rsidR="00651794" w:rsidRPr="00651794" w:rsidRDefault="00651794" w:rsidP="00651794">
      <w:pPr>
        <w:shd w:val="clear" w:color="auto" w:fill="FFFFFF"/>
        <w:spacing w:after="225" w:line="360" w:lineRule="atLeast"/>
        <w:rPr>
          <w:rFonts w:ascii="Arial" w:eastAsia="Times New Roman" w:hAnsi="Arial" w:cs="Arial"/>
          <w:b/>
          <w:color w:val="545252"/>
          <w:sz w:val="18"/>
          <w:szCs w:val="18"/>
          <w:lang w:eastAsia="es-ES"/>
        </w:rPr>
      </w:pPr>
      <w:r w:rsidRPr="00651794">
        <w:rPr>
          <w:rFonts w:ascii="Arial" w:eastAsia="Times New Roman" w:hAnsi="Arial" w:cs="Arial"/>
          <w:b/>
          <w:color w:val="545252"/>
          <w:sz w:val="18"/>
          <w:szCs w:val="18"/>
          <w:lang w:eastAsia="es-ES"/>
        </w:rPr>
        <w:lastRenderedPageBreak/>
        <w:t>Es decir, hay</w:t>
      </w:r>
      <w:r w:rsidRPr="00651794">
        <w:rPr>
          <w:rFonts w:ascii="Arial" w:eastAsia="Times New Roman" w:hAnsi="Arial" w:cs="Arial"/>
          <w:b/>
          <w:bCs/>
          <w:color w:val="545252"/>
          <w:sz w:val="18"/>
          <w:lang w:eastAsia="es-ES"/>
        </w:rPr>
        <w:t> mayor conocimiento entre los hombres, de edades mayores y que trabajan fuera del hogar.</w:t>
      </w:r>
    </w:p>
    <w:p w:rsidR="00651794" w:rsidRPr="00651794" w:rsidRDefault="00651794" w:rsidP="00651794">
      <w:pPr>
        <w:shd w:val="clear" w:color="auto" w:fill="FFFFFF"/>
        <w:spacing w:after="225" w:line="360" w:lineRule="atLeast"/>
        <w:rPr>
          <w:rFonts w:ascii="Arial" w:eastAsia="Times New Roman" w:hAnsi="Arial" w:cs="Arial"/>
          <w:b/>
          <w:color w:val="545252"/>
          <w:sz w:val="18"/>
          <w:szCs w:val="18"/>
          <w:lang w:eastAsia="es-ES"/>
        </w:rPr>
      </w:pPr>
      <w:r w:rsidRPr="00651794">
        <w:rPr>
          <w:rFonts w:ascii="Arial" w:eastAsia="Times New Roman" w:hAnsi="Arial" w:cs="Arial"/>
          <w:b/>
          <w:color w:val="545252"/>
          <w:sz w:val="18"/>
          <w:szCs w:val="18"/>
          <w:lang w:eastAsia="es-ES"/>
        </w:rPr>
        <w:t>Por comunidades autónomas, los que más alto sitúan la pensión, y más se acercan a la realidad, son los de</w:t>
      </w:r>
      <w:r w:rsidRPr="00651794">
        <w:rPr>
          <w:rFonts w:ascii="Arial" w:eastAsia="Times New Roman" w:hAnsi="Arial" w:cs="Arial"/>
          <w:b/>
          <w:color w:val="545252"/>
          <w:sz w:val="18"/>
          <w:lang w:eastAsia="es-ES"/>
        </w:rPr>
        <w:t> </w:t>
      </w:r>
      <w:r w:rsidRPr="00651794">
        <w:rPr>
          <w:rFonts w:ascii="Arial" w:eastAsia="Times New Roman" w:hAnsi="Arial" w:cs="Arial"/>
          <w:b/>
          <w:bCs/>
          <w:color w:val="545252"/>
          <w:sz w:val="18"/>
          <w:lang w:eastAsia="es-ES"/>
        </w:rPr>
        <w:t>Aragón y País Vasco</w:t>
      </w:r>
      <w:r w:rsidRPr="00651794">
        <w:rPr>
          <w:rFonts w:ascii="Arial" w:eastAsia="Times New Roman" w:hAnsi="Arial" w:cs="Arial"/>
          <w:b/>
          <w:color w:val="545252"/>
          <w:sz w:val="18"/>
          <w:szCs w:val="18"/>
          <w:lang w:eastAsia="es-ES"/>
        </w:rPr>
        <w:t>. Los que menos, los de Andalucía, Baleares y Extremadura.</w:t>
      </w:r>
    </w:p>
    <w:p w:rsidR="00651794" w:rsidRPr="00651794" w:rsidRDefault="00651794" w:rsidP="00651794">
      <w:pPr>
        <w:shd w:val="clear" w:color="auto" w:fill="FFFFFF"/>
        <w:spacing w:after="0" w:line="240" w:lineRule="auto"/>
        <w:rPr>
          <w:rFonts w:ascii="Arial" w:eastAsia="Times New Roman" w:hAnsi="Arial" w:cs="Arial"/>
          <w:b/>
          <w:color w:val="545252"/>
          <w:sz w:val="18"/>
          <w:szCs w:val="18"/>
          <w:lang w:eastAsia="es-ES"/>
        </w:rPr>
      </w:pPr>
      <w:r w:rsidRPr="00651794">
        <w:rPr>
          <w:rFonts w:ascii="Arial" w:eastAsia="Times New Roman" w:hAnsi="Arial" w:cs="Arial"/>
          <w:b/>
          <w:noProof/>
          <w:color w:val="545252"/>
          <w:sz w:val="18"/>
          <w:szCs w:val="18"/>
          <w:lang w:eastAsia="es-ES"/>
        </w:rPr>
        <w:drawing>
          <wp:inline distT="0" distB="0" distL="0" distR="0">
            <wp:extent cx="9525" cy="9525"/>
            <wp:effectExtent l="0" t="0" r="0" b="0"/>
            <wp:docPr id="1" name="Imagen 1" descr="https://www.jubilaciondefuturo.es/public/img/visitas.png?identificador=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ubilaciondefuturo.es/public/img/visitas.png?identificador=720"/>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51794" w:rsidRPr="00651794" w:rsidRDefault="00651794" w:rsidP="00651794">
      <w:pPr>
        <w:shd w:val="clear" w:color="auto" w:fill="F2F2F2"/>
        <w:spacing w:after="0" w:line="240" w:lineRule="auto"/>
        <w:jc w:val="center"/>
        <w:textAlignment w:val="center"/>
        <w:rPr>
          <w:rFonts w:ascii="Arial" w:eastAsia="Times New Roman" w:hAnsi="Arial" w:cs="Arial"/>
          <w:b/>
          <w:color w:val="474747"/>
          <w:sz w:val="18"/>
          <w:szCs w:val="18"/>
          <w:lang w:eastAsia="es-ES"/>
        </w:rPr>
      </w:pPr>
      <w:r w:rsidRPr="00651794">
        <w:rPr>
          <w:rFonts w:ascii="Arial" w:eastAsia="Times New Roman" w:hAnsi="Arial" w:cs="Arial"/>
          <w:b/>
          <w:color w:val="474747"/>
          <w:sz w:val="18"/>
          <w:lang w:eastAsia="es-ES"/>
        </w:rPr>
        <w:t> </w:t>
      </w:r>
    </w:p>
    <w:p w:rsidR="00651794" w:rsidRPr="00651794" w:rsidRDefault="00651794" w:rsidP="00651794">
      <w:pPr>
        <w:numPr>
          <w:ilvl w:val="0"/>
          <w:numId w:val="7"/>
        </w:numPr>
        <w:shd w:val="clear" w:color="auto" w:fill="F2F2F2"/>
        <w:spacing w:after="0" w:line="240" w:lineRule="auto"/>
        <w:ind w:left="0"/>
        <w:jc w:val="center"/>
        <w:textAlignment w:val="center"/>
        <w:rPr>
          <w:rFonts w:ascii="Arial" w:eastAsia="Times New Roman" w:hAnsi="Arial" w:cs="Arial"/>
          <w:b/>
          <w:color w:val="474747"/>
          <w:sz w:val="18"/>
          <w:szCs w:val="18"/>
          <w:lang w:eastAsia="es-ES"/>
        </w:rPr>
      </w:pPr>
      <w:hyperlink r:id="rId7" w:history="1">
        <w:r w:rsidRPr="00651794">
          <w:rPr>
            <w:rFonts w:ascii="Arial" w:eastAsia="Times New Roman" w:hAnsi="Arial" w:cs="Arial"/>
            <w:b/>
            <w:color w:val="474747"/>
            <w:sz w:val="18"/>
            <w:u w:val="single"/>
            <w:lang w:eastAsia="es-ES"/>
          </w:rPr>
          <w:t>S</w:t>
        </w:r>
      </w:hyperlink>
    </w:p>
    <w:p w:rsidR="002B04C1" w:rsidRPr="00651794" w:rsidRDefault="002B04C1">
      <w:pPr>
        <w:rPr>
          <w:b/>
        </w:rPr>
      </w:pPr>
    </w:p>
    <w:sectPr w:rsidR="002B04C1" w:rsidRPr="00651794" w:rsidSect="002B04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bva-ligh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5605"/>
    <w:multiLevelType w:val="multilevel"/>
    <w:tmpl w:val="AD48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46BC5"/>
    <w:multiLevelType w:val="multilevel"/>
    <w:tmpl w:val="734A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F709FA"/>
    <w:multiLevelType w:val="multilevel"/>
    <w:tmpl w:val="E824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DC213F"/>
    <w:multiLevelType w:val="multilevel"/>
    <w:tmpl w:val="8DEC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1324CF"/>
    <w:multiLevelType w:val="multilevel"/>
    <w:tmpl w:val="8C5C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D54CDC"/>
    <w:multiLevelType w:val="multilevel"/>
    <w:tmpl w:val="A200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BA23E0"/>
    <w:multiLevelType w:val="multilevel"/>
    <w:tmpl w:val="033A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B00D90"/>
    <w:multiLevelType w:val="multilevel"/>
    <w:tmpl w:val="0E7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025EBF"/>
    <w:multiLevelType w:val="multilevel"/>
    <w:tmpl w:val="27D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0"/>
  </w:num>
  <w:num w:numId="4">
    <w:abstractNumId w:val="1"/>
  </w:num>
  <w:num w:numId="5">
    <w:abstractNumId w:val="2"/>
  </w:num>
  <w:num w:numId="6">
    <w:abstractNumId w:val="8"/>
  </w:num>
  <w:num w:numId="7">
    <w:abstractNumId w:val="5"/>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51794"/>
    <w:rsid w:val="002B04C1"/>
    <w:rsid w:val="00651794"/>
    <w:rsid w:val="00CA473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1">
    <w:name w:val="heading 1"/>
    <w:basedOn w:val="Normal"/>
    <w:link w:val="Ttulo1Car"/>
    <w:uiPriority w:val="9"/>
    <w:qFormat/>
    <w:rsid w:val="006517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651794"/>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1794"/>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651794"/>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65179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651794"/>
  </w:style>
  <w:style w:type="character" w:styleId="Hipervnculo">
    <w:name w:val="Hyperlink"/>
    <w:basedOn w:val="Fuentedeprrafopredeter"/>
    <w:uiPriority w:val="99"/>
    <w:semiHidden/>
    <w:unhideWhenUsed/>
    <w:rsid w:val="00651794"/>
    <w:rPr>
      <w:color w:val="0000FF"/>
      <w:u w:val="single"/>
    </w:rPr>
  </w:style>
  <w:style w:type="character" w:styleId="Textoennegrita">
    <w:name w:val="Strong"/>
    <w:basedOn w:val="Fuentedeprrafopredeter"/>
    <w:uiPriority w:val="22"/>
    <w:qFormat/>
    <w:rsid w:val="00651794"/>
    <w:rPr>
      <w:b/>
      <w:bCs/>
    </w:rPr>
  </w:style>
  <w:style w:type="paragraph" w:customStyle="1" w:styleId="comentar">
    <w:name w:val="comentar"/>
    <w:basedOn w:val="Normal"/>
    <w:rsid w:val="006517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nimar-capa">
    <w:name w:val="animar-capa"/>
    <w:basedOn w:val="Normal"/>
    <w:rsid w:val="006517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imprimir">
    <w:name w:val="imprimir"/>
    <w:basedOn w:val="Normal"/>
    <w:rsid w:val="0065179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idden-phone">
    <w:name w:val="hidden-phone"/>
    <w:basedOn w:val="Normal"/>
    <w:rsid w:val="0065179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nterno">
    <w:name w:val="interno"/>
    <w:basedOn w:val="Fuentedeprrafopredeter"/>
    <w:rsid w:val="00651794"/>
  </w:style>
  <w:style w:type="paragraph" w:styleId="Textodeglobo">
    <w:name w:val="Balloon Text"/>
    <w:basedOn w:val="Normal"/>
    <w:link w:val="TextodegloboCar"/>
    <w:uiPriority w:val="99"/>
    <w:semiHidden/>
    <w:unhideWhenUsed/>
    <w:rsid w:val="006517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17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2188026">
      <w:bodyDiv w:val="1"/>
      <w:marLeft w:val="0"/>
      <w:marRight w:val="0"/>
      <w:marTop w:val="0"/>
      <w:marBottom w:val="0"/>
      <w:divBdr>
        <w:top w:val="none" w:sz="0" w:space="0" w:color="auto"/>
        <w:left w:val="none" w:sz="0" w:space="0" w:color="auto"/>
        <w:bottom w:val="none" w:sz="0" w:space="0" w:color="auto"/>
        <w:right w:val="none" w:sz="0" w:space="0" w:color="auto"/>
      </w:divBdr>
      <w:divsChild>
        <w:div w:id="454371324">
          <w:marLeft w:val="0"/>
          <w:marRight w:val="0"/>
          <w:marTop w:val="0"/>
          <w:marBottom w:val="0"/>
          <w:divBdr>
            <w:top w:val="none" w:sz="0" w:space="0" w:color="auto"/>
            <w:left w:val="none" w:sz="0" w:space="0" w:color="auto"/>
            <w:bottom w:val="none" w:sz="0" w:space="0" w:color="auto"/>
            <w:right w:val="none" w:sz="0" w:space="0" w:color="auto"/>
          </w:divBdr>
          <w:divsChild>
            <w:div w:id="461120285">
              <w:marLeft w:val="0"/>
              <w:marRight w:val="0"/>
              <w:marTop w:val="0"/>
              <w:marBottom w:val="0"/>
              <w:divBdr>
                <w:top w:val="none" w:sz="0" w:space="0" w:color="auto"/>
                <w:left w:val="none" w:sz="0" w:space="0" w:color="auto"/>
                <w:bottom w:val="none" w:sz="0" w:space="0" w:color="auto"/>
                <w:right w:val="none" w:sz="0" w:space="0" w:color="auto"/>
              </w:divBdr>
              <w:divsChild>
                <w:div w:id="1239558494">
                  <w:marLeft w:val="0"/>
                  <w:marRight w:val="0"/>
                  <w:marTop w:val="0"/>
                  <w:marBottom w:val="0"/>
                  <w:divBdr>
                    <w:top w:val="none" w:sz="0" w:space="0" w:color="auto"/>
                    <w:left w:val="none" w:sz="0" w:space="0" w:color="auto"/>
                    <w:bottom w:val="none" w:sz="0" w:space="0" w:color="auto"/>
                    <w:right w:val="none" w:sz="0" w:space="0" w:color="auto"/>
                  </w:divBdr>
                  <w:divsChild>
                    <w:div w:id="806515045">
                      <w:marLeft w:val="0"/>
                      <w:marRight w:val="0"/>
                      <w:marTop w:val="0"/>
                      <w:marBottom w:val="0"/>
                      <w:divBdr>
                        <w:top w:val="none" w:sz="0" w:space="0" w:color="auto"/>
                        <w:left w:val="none" w:sz="0" w:space="0" w:color="auto"/>
                        <w:bottom w:val="none" w:sz="0" w:space="0" w:color="auto"/>
                        <w:right w:val="none" w:sz="0" w:space="0" w:color="auto"/>
                      </w:divBdr>
                      <w:divsChild>
                        <w:div w:id="65997125">
                          <w:marLeft w:val="0"/>
                          <w:marRight w:val="0"/>
                          <w:marTop w:val="0"/>
                          <w:marBottom w:val="0"/>
                          <w:divBdr>
                            <w:top w:val="none" w:sz="0" w:space="0" w:color="auto"/>
                            <w:left w:val="none" w:sz="0" w:space="0" w:color="auto"/>
                            <w:bottom w:val="none" w:sz="0" w:space="0" w:color="auto"/>
                            <w:right w:val="none" w:sz="0" w:space="0" w:color="auto"/>
                          </w:divBdr>
                          <w:divsChild>
                            <w:div w:id="2020808866">
                              <w:marLeft w:val="0"/>
                              <w:marRight w:val="288"/>
                              <w:marTop w:val="0"/>
                              <w:marBottom w:val="0"/>
                              <w:divBdr>
                                <w:top w:val="none" w:sz="0" w:space="0" w:color="auto"/>
                                <w:left w:val="none" w:sz="0" w:space="0" w:color="auto"/>
                                <w:bottom w:val="none" w:sz="0" w:space="0" w:color="auto"/>
                                <w:right w:val="none" w:sz="0" w:space="0" w:color="auto"/>
                              </w:divBdr>
                              <w:divsChild>
                                <w:div w:id="298800454">
                                  <w:marLeft w:val="0"/>
                                  <w:marRight w:val="0"/>
                                  <w:marTop w:val="0"/>
                                  <w:marBottom w:val="0"/>
                                  <w:divBdr>
                                    <w:top w:val="none" w:sz="0" w:space="0" w:color="auto"/>
                                    <w:left w:val="none" w:sz="0" w:space="0" w:color="auto"/>
                                    <w:bottom w:val="none" w:sz="0" w:space="0" w:color="auto"/>
                                    <w:right w:val="none" w:sz="0" w:space="0" w:color="auto"/>
                                  </w:divBdr>
                                  <w:divsChild>
                                    <w:div w:id="982277554">
                                      <w:marLeft w:val="0"/>
                                      <w:marRight w:val="0"/>
                                      <w:marTop w:val="0"/>
                                      <w:marBottom w:val="0"/>
                                      <w:divBdr>
                                        <w:top w:val="none" w:sz="0" w:space="0" w:color="auto"/>
                                        <w:left w:val="none" w:sz="0" w:space="0" w:color="auto"/>
                                        <w:bottom w:val="none" w:sz="0" w:space="0" w:color="auto"/>
                                        <w:right w:val="single" w:sz="6" w:space="0" w:color="F2F2F2"/>
                                      </w:divBdr>
                                      <w:divsChild>
                                        <w:div w:id="501049269">
                                          <w:marLeft w:val="0"/>
                                          <w:marRight w:val="0"/>
                                          <w:marTop w:val="0"/>
                                          <w:marBottom w:val="0"/>
                                          <w:divBdr>
                                            <w:top w:val="none" w:sz="0" w:space="0" w:color="auto"/>
                                            <w:left w:val="none" w:sz="0" w:space="0" w:color="auto"/>
                                            <w:bottom w:val="none" w:sz="0" w:space="0" w:color="auto"/>
                                            <w:right w:val="none" w:sz="0" w:space="0" w:color="auto"/>
                                          </w:divBdr>
                                          <w:divsChild>
                                            <w:div w:id="1336877438">
                                              <w:marLeft w:val="0"/>
                                              <w:marRight w:val="0"/>
                                              <w:marTop w:val="0"/>
                                              <w:marBottom w:val="0"/>
                                              <w:divBdr>
                                                <w:top w:val="none" w:sz="0" w:space="0" w:color="auto"/>
                                                <w:left w:val="none" w:sz="0" w:space="0" w:color="auto"/>
                                                <w:bottom w:val="none" w:sz="0" w:space="0" w:color="auto"/>
                                                <w:right w:val="none" w:sz="0" w:space="0" w:color="auto"/>
                                              </w:divBdr>
                                              <w:divsChild>
                                                <w:div w:id="870073292">
                                                  <w:marLeft w:val="0"/>
                                                  <w:marRight w:val="0"/>
                                                  <w:marTop w:val="0"/>
                                                  <w:marBottom w:val="525"/>
                                                  <w:divBdr>
                                                    <w:top w:val="none" w:sz="0" w:space="0" w:color="auto"/>
                                                    <w:left w:val="none" w:sz="0" w:space="0" w:color="auto"/>
                                                    <w:bottom w:val="none" w:sz="0" w:space="0" w:color="auto"/>
                                                    <w:right w:val="none" w:sz="0" w:space="0" w:color="auto"/>
                                                  </w:divBdr>
                                                </w:div>
                                                <w:div w:id="83655036">
                                                  <w:marLeft w:val="0"/>
                                                  <w:marRight w:val="0"/>
                                                  <w:marTop w:val="0"/>
                                                  <w:marBottom w:val="150"/>
                                                  <w:divBdr>
                                                    <w:top w:val="none" w:sz="0" w:space="0" w:color="auto"/>
                                                    <w:left w:val="none" w:sz="0" w:space="0" w:color="auto"/>
                                                    <w:bottom w:val="none" w:sz="0" w:space="0" w:color="auto"/>
                                                    <w:right w:val="none" w:sz="0" w:space="0" w:color="auto"/>
                                                  </w:divBdr>
                                                </w:div>
                                                <w:div w:id="1099178886">
                                                  <w:marLeft w:val="0"/>
                                                  <w:marRight w:val="0"/>
                                                  <w:marTop w:val="0"/>
                                                  <w:marBottom w:val="0"/>
                                                  <w:divBdr>
                                                    <w:top w:val="none" w:sz="0" w:space="0" w:color="auto"/>
                                                    <w:left w:val="none" w:sz="0" w:space="0" w:color="auto"/>
                                                    <w:bottom w:val="none" w:sz="0" w:space="0" w:color="auto"/>
                                                    <w:right w:val="none" w:sz="0" w:space="0" w:color="auto"/>
                                                  </w:divBdr>
                                                </w:div>
                                              </w:divsChild>
                                            </w:div>
                                            <w:div w:id="236130216">
                                              <w:marLeft w:val="0"/>
                                              <w:marRight w:val="0"/>
                                              <w:marTop w:val="0"/>
                                              <w:marBottom w:val="0"/>
                                              <w:divBdr>
                                                <w:top w:val="none" w:sz="0" w:space="0" w:color="auto"/>
                                                <w:left w:val="none" w:sz="0" w:space="0" w:color="auto"/>
                                                <w:bottom w:val="none" w:sz="0" w:space="0" w:color="auto"/>
                                                <w:right w:val="none" w:sz="0" w:space="0" w:color="auto"/>
                                              </w:divBdr>
                                              <w:divsChild>
                                                <w:div w:id="20093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637310">
                                          <w:marLeft w:val="0"/>
                                          <w:marRight w:val="0"/>
                                          <w:marTop w:val="0"/>
                                          <w:marBottom w:val="0"/>
                                          <w:divBdr>
                                            <w:top w:val="none" w:sz="0" w:space="0" w:color="auto"/>
                                            <w:left w:val="none" w:sz="0" w:space="0" w:color="auto"/>
                                            <w:bottom w:val="none" w:sz="0" w:space="0" w:color="auto"/>
                                            <w:right w:val="none" w:sz="0" w:space="0" w:color="auto"/>
                                          </w:divBdr>
                                          <w:divsChild>
                                            <w:div w:id="1292637312">
                                              <w:marLeft w:val="0"/>
                                              <w:marRight w:val="0"/>
                                              <w:marTop w:val="0"/>
                                              <w:marBottom w:val="0"/>
                                              <w:divBdr>
                                                <w:top w:val="none" w:sz="0" w:space="0" w:color="auto"/>
                                                <w:left w:val="none" w:sz="0" w:space="0" w:color="auto"/>
                                                <w:bottom w:val="none" w:sz="0" w:space="0" w:color="auto"/>
                                                <w:right w:val="none" w:sz="0" w:space="0" w:color="auto"/>
                                              </w:divBdr>
                                              <w:divsChild>
                                                <w:div w:id="1501431988">
                                                  <w:marLeft w:val="0"/>
                                                  <w:marRight w:val="0"/>
                                                  <w:marTop w:val="0"/>
                                                  <w:marBottom w:val="0"/>
                                                  <w:divBdr>
                                                    <w:top w:val="none" w:sz="0" w:space="0" w:color="auto"/>
                                                    <w:left w:val="none" w:sz="0" w:space="0" w:color="auto"/>
                                                    <w:bottom w:val="single" w:sz="6" w:space="11" w:color="D9D9D9"/>
                                                    <w:right w:val="none" w:sz="0" w:space="0" w:color="auto"/>
                                                  </w:divBdr>
                                                  <w:divsChild>
                                                    <w:div w:id="660962118">
                                                      <w:marLeft w:val="0"/>
                                                      <w:marRight w:val="0"/>
                                                      <w:marTop w:val="0"/>
                                                      <w:marBottom w:val="0"/>
                                                      <w:divBdr>
                                                        <w:top w:val="none" w:sz="0" w:space="0" w:color="auto"/>
                                                        <w:left w:val="none" w:sz="0" w:space="0" w:color="auto"/>
                                                        <w:bottom w:val="none" w:sz="0" w:space="0" w:color="auto"/>
                                                        <w:right w:val="none" w:sz="0" w:space="0" w:color="auto"/>
                                                      </w:divBdr>
                                                    </w:div>
                                                  </w:divsChild>
                                                </w:div>
                                                <w:div w:id="29916151">
                                                  <w:marLeft w:val="0"/>
                                                  <w:marRight w:val="0"/>
                                                  <w:marTop w:val="0"/>
                                                  <w:marBottom w:val="0"/>
                                                  <w:divBdr>
                                                    <w:top w:val="none" w:sz="0" w:space="0" w:color="auto"/>
                                                    <w:left w:val="none" w:sz="0" w:space="0" w:color="auto"/>
                                                    <w:bottom w:val="single" w:sz="6" w:space="11" w:color="D9D9D9"/>
                                                    <w:right w:val="none" w:sz="0" w:space="0" w:color="auto"/>
                                                  </w:divBdr>
                                                  <w:divsChild>
                                                    <w:div w:id="593781370">
                                                      <w:marLeft w:val="0"/>
                                                      <w:marRight w:val="0"/>
                                                      <w:marTop w:val="0"/>
                                                      <w:marBottom w:val="0"/>
                                                      <w:divBdr>
                                                        <w:top w:val="none" w:sz="0" w:space="0" w:color="auto"/>
                                                        <w:left w:val="none" w:sz="0" w:space="0" w:color="auto"/>
                                                        <w:bottom w:val="none" w:sz="0" w:space="0" w:color="auto"/>
                                                        <w:right w:val="none" w:sz="0" w:space="0" w:color="auto"/>
                                                      </w:divBdr>
                                                    </w:div>
                                                  </w:divsChild>
                                                </w:div>
                                                <w:div w:id="1798797160">
                                                  <w:marLeft w:val="0"/>
                                                  <w:marRight w:val="0"/>
                                                  <w:marTop w:val="0"/>
                                                  <w:marBottom w:val="0"/>
                                                  <w:divBdr>
                                                    <w:top w:val="none" w:sz="0" w:space="0" w:color="auto"/>
                                                    <w:left w:val="none" w:sz="0" w:space="0" w:color="auto"/>
                                                    <w:bottom w:val="single" w:sz="6" w:space="11" w:color="D9D9D9"/>
                                                    <w:right w:val="none" w:sz="0" w:space="0" w:color="auto"/>
                                                  </w:divBdr>
                                                  <w:divsChild>
                                                    <w:div w:id="1760322857">
                                                      <w:marLeft w:val="0"/>
                                                      <w:marRight w:val="0"/>
                                                      <w:marTop w:val="0"/>
                                                      <w:marBottom w:val="0"/>
                                                      <w:divBdr>
                                                        <w:top w:val="none" w:sz="0" w:space="0" w:color="auto"/>
                                                        <w:left w:val="none" w:sz="0" w:space="0" w:color="auto"/>
                                                        <w:bottom w:val="none" w:sz="0" w:space="0" w:color="auto"/>
                                                        <w:right w:val="none" w:sz="0" w:space="0" w:color="auto"/>
                                                      </w:divBdr>
                                                    </w:div>
                                                  </w:divsChild>
                                                </w:div>
                                                <w:div w:id="504394885">
                                                  <w:marLeft w:val="0"/>
                                                  <w:marRight w:val="0"/>
                                                  <w:marTop w:val="0"/>
                                                  <w:marBottom w:val="0"/>
                                                  <w:divBdr>
                                                    <w:top w:val="none" w:sz="0" w:space="0" w:color="auto"/>
                                                    <w:left w:val="none" w:sz="0" w:space="0" w:color="auto"/>
                                                    <w:bottom w:val="none" w:sz="0" w:space="0" w:color="auto"/>
                                                    <w:right w:val="none" w:sz="0" w:space="0" w:color="auto"/>
                                                  </w:divBdr>
                                                  <w:divsChild>
                                                    <w:div w:id="51303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628824">
                              <w:marLeft w:val="0"/>
                              <w:marRight w:val="0"/>
                              <w:marTop w:val="0"/>
                              <w:marBottom w:val="0"/>
                              <w:divBdr>
                                <w:top w:val="none" w:sz="0" w:space="0" w:color="auto"/>
                                <w:left w:val="none" w:sz="0" w:space="0" w:color="auto"/>
                                <w:bottom w:val="none" w:sz="0" w:space="0" w:color="auto"/>
                                <w:right w:val="none" w:sz="0" w:space="0" w:color="auto"/>
                              </w:divBdr>
                              <w:divsChild>
                                <w:div w:id="592864120">
                                  <w:marLeft w:val="0"/>
                                  <w:marRight w:val="0"/>
                                  <w:marTop w:val="0"/>
                                  <w:marBottom w:val="0"/>
                                  <w:divBdr>
                                    <w:top w:val="none" w:sz="0" w:space="0" w:color="auto"/>
                                    <w:left w:val="none" w:sz="0" w:space="0" w:color="auto"/>
                                    <w:bottom w:val="none" w:sz="0" w:space="0" w:color="auto"/>
                                    <w:right w:val="none" w:sz="0" w:space="0" w:color="auto"/>
                                  </w:divBdr>
                                  <w:divsChild>
                                    <w:div w:id="1200625069">
                                      <w:marLeft w:val="0"/>
                                      <w:marRight w:val="0"/>
                                      <w:marTop w:val="0"/>
                                      <w:marBottom w:val="225"/>
                                      <w:divBdr>
                                        <w:top w:val="none" w:sz="0" w:space="0" w:color="auto"/>
                                        <w:left w:val="none" w:sz="0" w:space="0" w:color="auto"/>
                                        <w:bottom w:val="none" w:sz="0" w:space="0" w:color="auto"/>
                                        <w:right w:val="none" w:sz="0" w:space="0" w:color="auto"/>
                                      </w:divBdr>
                                    </w:div>
                                  </w:divsChild>
                                </w:div>
                                <w:div w:id="504439785">
                                  <w:marLeft w:val="0"/>
                                  <w:marRight w:val="0"/>
                                  <w:marTop w:val="0"/>
                                  <w:marBottom w:val="525"/>
                                  <w:divBdr>
                                    <w:top w:val="none" w:sz="0" w:space="0" w:color="auto"/>
                                    <w:left w:val="none" w:sz="0" w:space="0" w:color="auto"/>
                                    <w:bottom w:val="none" w:sz="0" w:space="0" w:color="auto"/>
                                    <w:right w:val="none" w:sz="0" w:space="0" w:color="auto"/>
                                  </w:divBdr>
                                  <w:divsChild>
                                    <w:div w:id="2109500717">
                                      <w:marLeft w:val="0"/>
                                      <w:marRight w:val="0"/>
                                      <w:marTop w:val="0"/>
                                      <w:marBottom w:val="0"/>
                                      <w:divBdr>
                                        <w:top w:val="none" w:sz="0" w:space="0" w:color="auto"/>
                                        <w:left w:val="none" w:sz="0" w:space="0" w:color="auto"/>
                                        <w:bottom w:val="none" w:sz="0" w:space="0" w:color="auto"/>
                                        <w:right w:val="none" w:sz="0" w:space="0" w:color="auto"/>
                                      </w:divBdr>
                                      <w:divsChild>
                                        <w:div w:id="1438023562">
                                          <w:marLeft w:val="0"/>
                                          <w:marRight w:val="0"/>
                                          <w:marTop w:val="0"/>
                                          <w:marBottom w:val="0"/>
                                          <w:divBdr>
                                            <w:top w:val="none" w:sz="0" w:space="11" w:color="auto"/>
                                            <w:left w:val="none" w:sz="0" w:space="11" w:color="auto"/>
                                            <w:bottom w:val="single" w:sz="6" w:space="11" w:color="DCDCDC"/>
                                            <w:right w:val="none" w:sz="0" w:space="11" w:color="auto"/>
                                          </w:divBdr>
                                        </w:div>
                                      </w:divsChild>
                                    </w:div>
                                    <w:div w:id="1906060582">
                                      <w:marLeft w:val="0"/>
                                      <w:marRight w:val="0"/>
                                      <w:marTop w:val="0"/>
                                      <w:marBottom w:val="0"/>
                                      <w:divBdr>
                                        <w:top w:val="none" w:sz="0" w:space="0" w:color="auto"/>
                                        <w:left w:val="none" w:sz="0" w:space="0" w:color="auto"/>
                                        <w:bottom w:val="none" w:sz="0" w:space="0" w:color="auto"/>
                                        <w:right w:val="none" w:sz="0" w:space="0" w:color="auto"/>
                                      </w:divBdr>
                                    </w:div>
                                    <w:div w:id="394013653">
                                      <w:marLeft w:val="0"/>
                                      <w:marRight w:val="0"/>
                                      <w:marTop w:val="0"/>
                                      <w:marBottom w:val="0"/>
                                      <w:divBdr>
                                        <w:top w:val="none" w:sz="0" w:space="0" w:color="auto"/>
                                        <w:left w:val="none" w:sz="0" w:space="0" w:color="auto"/>
                                        <w:bottom w:val="none" w:sz="0" w:space="0" w:color="auto"/>
                                        <w:right w:val="none" w:sz="0" w:space="0" w:color="auto"/>
                                      </w:divBdr>
                                    </w:div>
                                    <w:div w:id="677394031">
                                      <w:marLeft w:val="0"/>
                                      <w:marRight w:val="0"/>
                                      <w:marTop w:val="0"/>
                                      <w:marBottom w:val="0"/>
                                      <w:divBdr>
                                        <w:top w:val="none" w:sz="0" w:space="0" w:color="auto"/>
                                        <w:left w:val="none" w:sz="0" w:space="0" w:color="auto"/>
                                        <w:bottom w:val="none" w:sz="0" w:space="0" w:color="auto"/>
                                        <w:right w:val="none" w:sz="0" w:space="0" w:color="auto"/>
                                      </w:divBdr>
                                    </w:div>
                                    <w:div w:id="1391418013">
                                      <w:marLeft w:val="0"/>
                                      <w:marRight w:val="0"/>
                                      <w:marTop w:val="0"/>
                                      <w:marBottom w:val="0"/>
                                      <w:divBdr>
                                        <w:top w:val="none" w:sz="0" w:space="0" w:color="auto"/>
                                        <w:left w:val="none" w:sz="0" w:space="0" w:color="auto"/>
                                        <w:bottom w:val="none" w:sz="0" w:space="0" w:color="auto"/>
                                        <w:right w:val="none" w:sz="0" w:space="0" w:color="auto"/>
                                      </w:divBdr>
                                    </w:div>
                                    <w:div w:id="1626811329">
                                      <w:marLeft w:val="0"/>
                                      <w:marRight w:val="0"/>
                                      <w:marTop w:val="0"/>
                                      <w:marBottom w:val="0"/>
                                      <w:divBdr>
                                        <w:top w:val="none" w:sz="0" w:space="0" w:color="auto"/>
                                        <w:left w:val="none" w:sz="0" w:space="0" w:color="auto"/>
                                        <w:bottom w:val="none" w:sz="0" w:space="0" w:color="auto"/>
                                        <w:right w:val="none" w:sz="0" w:space="0" w:color="auto"/>
                                      </w:divBdr>
                                    </w:div>
                                    <w:div w:id="7901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299306">
          <w:marLeft w:val="0"/>
          <w:marRight w:val="0"/>
          <w:marTop w:val="0"/>
          <w:marBottom w:val="0"/>
          <w:divBdr>
            <w:top w:val="none" w:sz="0" w:space="0" w:color="auto"/>
            <w:left w:val="none" w:sz="0" w:space="0" w:color="auto"/>
            <w:bottom w:val="none" w:sz="0" w:space="0" w:color="auto"/>
            <w:right w:val="none" w:sz="0" w:space="0" w:color="auto"/>
          </w:divBdr>
          <w:divsChild>
            <w:div w:id="1093471371">
              <w:marLeft w:val="0"/>
              <w:marRight w:val="0"/>
              <w:marTop w:val="0"/>
              <w:marBottom w:val="0"/>
              <w:divBdr>
                <w:top w:val="none" w:sz="0" w:space="0" w:color="auto"/>
                <w:left w:val="none" w:sz="0" w:space="0" w:color="auto"/>
                <w:bottom w:val="none" w:sz="0" w:space="0" w:color="auto"/>
                <w:right w:val="none" w:sz="0" w:space="0" w:color="auto"/>
              </w:divBdr>
            </w:div>
          </w:divsChild>
        </w:div>
        <w:div w:id="1336764965">
          <w:marLeft w:val="0"/>
          <w:marRight w:val="0"/>
          <w:marTop w:val="0"/>
          <w:marBottom w:val="0"/>
          <w:divBdr>
            <w:top w:val="none" w:sz="0" w:space="0" w:color="auto"/>
            <w:left w:val="none" w:sz="0" w:space="0" w:color="auto"/>
            <w:bottom w:val="none" w:sz="0" w:space="0" w:color="auto"/>
            <w:right w:val="none" w:sz="0" w:space="0" w:color="auto"/>
          </w:divBdr>
        </w:div>
        <w:div w:id="68843539">
          <w:marLeft w:val="0"/>
          <w:marRight w:val="0"/>
          <w:marTop w:val="0"/>
          <w:marBottom w:val="0"/>
          <w:divBdr>
            <w:top w:val="none" w:sz="0" w:space="0" w:color="auto"/>
            <w:left w:val="none" w:sz="0" w:space="0" w:color="auto"/>
            <w:bottom w:val="none" w:sz="0" w:space="0" w:color="auto"/>
            <w:right w:val="none" w:sz="0" w:space="0" w:color="auto"/>
          </w:divBdr>
          <w:divsChild>
            <w:div w:id="456065688">
              <w:marLeft w:val="0"/>
              <w:marRight w:val="0"/>
              <w:marTop w:val="0"/>
              <w:marBottom w:val="0"/>
              <w:divBdr>
                <w:top w:val="none" w:sz="0" w:space="0" w:color="auto"/>
                <w:left w:val="none" w:sz="0" w:space="0" w:color="auto"/>
                <w:bottom w:val="none" w:sz="0" w:space="0" w:color="auto"/>
                <w:right w:val="none" w:sz="0" w:space="0" w:color="auto"/>
              </w:divBdr>
              <w:divsChild>
                <w:div w:id="2115248428">
                  <w:marLeft w:val="0"/>
                  <w:marRight w:val="0"/>
                  <w:marTop w:val="0"/>
                  <w:marBottom w:val="0"/>
                  <w:divBdr>
                    <w:top w:val="none" w:sz="0" w:space="0" w:color="auto"/>
                    <w:left w:val="none" w:sz="0" w:space="0" w:color="auto"/>
                    <w:bottom w:val="none" w:sz="0" w:space="0" w:color="auto"/>
                    <w:right w:val="none" w:sz="0" w:space="0" w:color="auto"/>
                  </w:divBdr>
                  <w:divsChild>
                    <w:div w:id="821581146">
                      <w:marLeft w:val="0"/>
                      <w:marRight w:val="0"/>
                      <w:marTop w:val="0"/>
                      <w:marBottom w:val="0"/>
                      <w:divBdr>
                        <w:top w:val="none" w:sz="0" w:space="0" w:color="auto"/>
                        <w:left w:val="none" w:sz="0" w:space="0" w:color="auto"/>
                        <w:bottom w:val="none" w:sz="0" w:space="0" w:color="auto"/>
                        <w:right w:val="none" w:sz="0" w:space="0" w:color="auto"/>
                      </w:divBdr>
                    </w:div>
                    <w:div w:id="1636988392">
                      <w:marLeft w:val="0"/>
                      <w:marRight w:val="0"/>
                      <w:marTop w:val="0"/>
                      <w:marBottom w:val="0"/>
                      <w:divBdr>
                        <w:top w:val="none" w:sz="0" w:space="0" w:color="auto"/>
                        <w:left w:val="none" w:sz="0" w:space="0" w:color="auto"/>
                        <w:bottom w:val="none" w:sz="0" w:space="0" w:color="auto"/>
                        <w:right w:val="none" w:sz="0" w:space="0" w:color="auto"/>
                      </w:divBdr>
                    </w:div>
                    <w:div w:id="37316996">
                      <w:marLeft w:val="0"/>
                      <w:marRight w:val="0"/>
                      <w:marTop w:val="0"/>
                      <w:marBottom w:val="0"/>
                      <w:divBdr>
                        <w:top w:val="none" w:sz="0" w:space="0" w:color="auto"/>
                        <w:left w:val="none" w:sz="0" w:space="0" w:color="auto"/>
                        <w:bottom w:val="none" w:sz="0" w:space="0" w:color="auto"/>
                        <w:right w:val="none" w:sz="0" w:space="0" w:color="auto"/>
                      </w:divBdr>
                    </w:div>
                    <w:div w:id="175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bilaciondefuturo.es/es/r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jubilaciondefuturo.es/recursos/doc/pensiones/20131003/posts/encuesta-las-pensiones-y-los-habitos-de-ahorro-en-espana-2014.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2325</Characters>
  <Application>Microsoft Office Word</Application>
  <DocSecurity>0</DocSecurity>
  <Lines>19</Lines>
  <Paragraphs>5</Paragraphs>
  <ScaleCrop>false</ScaleCrop>
  <Company>Hewlett-Packard</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3</cp:revision>
  <dcterms:created xsi:type="dcterms:W3CDTF">2015-02-04T18:22:00Z</dcterms:created>
  <dcterms:modified xsi:type="dcterms:W3CDTF">2015-02-04T18:24:00Z</dcterms:modified>
</cp:coreProperties>
</file>