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03A6" w:rsidRPr="004003A6" w:rsidRDefault="004003A6" w:rsidP="004003A6">
      <w:pPr>
        <w:shd w:val="clear" w:color="auto" w:fill="FFFFFF"/>
        <w:spacing w:after="225" w:line="288" w:lineRule="atLeast"/>
        <w:outlineLvl w:val="0"/>
        <w:rPr>
          <w:rFonts w:ascii="Arial" w:eastAsia="Times New Roman" w:hAnsi="Arial" w:cs="Arial"/>
          <w:b/>
          <w:color w:val="000000"/>
          <w:spacing w:val="-15"/>
          <w:kern w:val="36"/>
          <w:sz w:val="52"/>
          <w:szCs w:val="52"/>
          <w:lang w:eastAsia="es-ES"/>
        </w:rPr>
      </w:pPr>
      <w:r w:rsidRPr="004003A6">
        <w:rPr>
          <w:rFonts w:ascii="Arial" w:eastAsia="Times New Roman" w:hAnsi="Arial" w:cs="Arial"/>
          <w:b/>
          <w:color w:val="000000"/>
          <w:spacing w:val="-15"/>
          <w:kern w:val="36"/>
          <w:sz w:val="52"/>
          <w:szCs w:val="52"/>
          <w:lang w:eastAsia="es-ES"/>
        </w:rPr>
        <w:fldChar w:fldCharType="begin"/>
      </w:r>
      <w:r w:rsidRPr="004003A6">
        <w:rPr>
          <w:rFonts w:ascii="Arial" w:eastAsia="Times New Roman" w:hAnsi="Arial" w:cs="Arial"/>
          <w:b/>
          <w:color w:val="000000"/>
          <w:spacing w:val="-15"/>
          <w:kern w:val="36"/>
          <w:sz w:val="52"/>
          <w:szCs w:val="52"/>
          <w:lang w:eastAsia="es-ES"/>
        </w:rPr>
        <w:instrText xml:space="preserve"> HYPERLINK "http://geriatricarea.com/recomendaciones-de-fundacion-edadvida-para-afrontar-economicamente-la-jubilacion/" \o "Enlace permanente a Recomendaciones de Fundación Edad&amp;Vida para afrontar económicamente la jubilación" </w:instrText>
      </w:r>
      <w:r w:rsidRPr="004003A6">
        <w:rPr>
          <w:rFonts w:ascii="Arial" w:eastAsia="Times New Roman" w:hAnsi="Arial" w:cs="Arial"/>
          <w:b/>
          <w:color w:val="000000"/>
          <w:spacing w:val="-15"/>
          <w:kern w:val="36"/>
          <w:sz w:val="52"/>
          <w:szCs w:val="52"/>
          <w:lang w:eastAsia="es-ES"/>
        </w:rPr>
        <w:fldChar w:fldCharType="separate"/>
      </w:r>
      <w:r w:rsidRPr="004003A6">
        <w:rPr>
          <w:rFonts w:ascii="Arial" w:eastAsia="Times New Roman" w:hAnsi="Arial" w:cs="Arial"/>
          <w:b/>
          <w:color w:val="0BA6B5"/>
          <w:spacing w:val="-15"/>
          <w:kern w:val="36"/>
          <w:sz w:val="52"/>
          <w:szCs w:val="52"/>
          <w:u w:val="single"/>
          <w:lang w:eastAsia="es-ES"/>
        </w:rPr>
        <w:t>Recomendaciones para afrontar económicamente la jubilación</w:t>
      </w:r>
      <w:r w:rsidRPr="004003A6">
        <w:rPr>
          <w:rFonts w:ascii="Arial" w:eastAsia="Times New Roman" w:hAnsi="Arial" w:cs="Arial"/>
          <w:b/>
          <w:color w:val="000000"/>
          <w:spacing w:val="-15"/>
          <w:kern w:val="36"/>
          <w:sz w:val="52"/>
          <w:szCs w:val="52"/>
          <w:lang w:eastAsia="es-ES"/>
        </w:rPr>
        <w:fldChar w:fldCharType="end"/>
      </w:r>
    </w:p>
    <w:p w:rsidR="004003A6" w:rsidRPr="004003A6" w:rsidRDefault="004003A6" w:rsidP="004003A6">
      <w:pPr>
        <w:shd w:val="clear" w:color="auto" w:fill="FFFFFF"/>
        <w:spacing w:after="225" w:line="270" w:lineRule="atLeast"/>
        <w:rPr>
          <w:rFonts w:ascii="Arial" w:eastAsia="Times New Roman" w:hAnsi="Arial" w:cs="Arial"/>
          <w:b/>
          <w:color w:val="000000"/>
          <w:sz w:val="20"/>
          <w:szCs w:val="20"/>
          <w:lang w:eastAsia="es-ES"/>
        </w:rPr>
      </w:pP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color w:val="000000"/>
          <w:lang w:eastAsia="es-ES"/>
        </w:rPr>
        <w:t>El 90% de los españoles reconoce la necesidad de ahorrar para la jubilación, pero tan solo el 40% lo hace. De hecho, </w:t>
      </w:r>
      <w:r w:rsidRPr="004003A6">
        <w:rPr>
          <w:rFonts w:ascii="Arial" w:eastAsia="Times New Roman" w:hAnsi="Arial" w:cs="Arial"/>
          <w:b/>
          <w:bCs/>
          <w:color w:val="000000"/>
          <w:lang w:eastAsia="es-ES"/>
        </w:rPr>
        <w:t>1 de cada 5 menores de 55 años cree que no cobrará pensión pública</w:t>
      </w:r>
      <w:r w:rsidRPr="004003A6">
        <w:rPr>
          <w:rFonts w:ascii="Arial" w:eastAsia="Times New Roman" w:hAnsi="Arial" w:cs="Arial"/>
          <w:b/>
          <w:color w:val="000000"/>
          <w:lang w:eastAsia="es-ES"/>
        </w:rPr>
        <w:t>, tal y como pone de relieve el informe “El comportamiento ciudadano en la planificación de la jubilación. El caso español en un escenario de reformas, cambios e incertidumbre”</w:t>
      </w:r>
      <w:proofErr w:type="gramStart"/>
      <w:r w:rsidRPr="004003A6">
        <w:rPr>
          <w:rFonts w:ascii="Arial" w:eastAsia="Times New Roman" w:hAnsi="Arial" w:cs="Arial"/>
          <w:b/>
          <w:color w:val="000000"/>
          <w:lang w:eastAsia="es-ES"/>
        </w:rPr>
        <w:t>,.</w:t>
      </w:r>
      <w:proofErr w:type="gramEnd"/>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color w:val="000000"/>
          <w:lang w:eastAsia="es-ES"/>
        </w:rPr>
        <w:t>Y es que la </w:t>
      </w:r>
      <w:r w:rsidRPr="004003A6">
        <w:rPr>
          <w:rFonts w:ascii="Arial" w:eastAsia="Times New Roman" w:hAnsi="Arial" w:cs="Arial"/>
          <w:b/>
          <w:bCs/>
          <w:color w:val="000000"/>
          <w:lang w:eastAsia="es-ES"/>
        </w:rPr>
        <w:t>crisis económica</w:t>
      </w:r>
      <w:r w:rsidRPr="004003A6">
        <w:rPr>
          <w:rFonts w:ascii="Arial" w:eastAsia="Times New Roman" w:hAnsi="Arial" w:cs="Arial"/>
          <w:b/>
          <w:color w:val="000000"/>
          <w:lang w:eastAsia="es-ES"/>
        </w:rPr>
        <w:t>, el debate sobre la </w:t>
      </w:r>
      <w:r w:rsidRPr="004003A6">
        <w:rPr>
          <w:rFonts w:ascii="Arial" w:eastAsia="Times New Roman" w:hAnsi="Arial" w:cs="Arial"/>
          <w:b/>
          <w:bCs/>
          <w:color w:val="000000"/>
          <w:lang w:eastAsia="es-ES"/>
        </w:rPr>
        <w:t>sostenibilidad del Estado del Bienestar</w:t>
      </w:r>
      <w:r w:rsidRPr="004003A6">
        <w:rPr>
          <w:rFonts w:ascii="Arial" w:eastAsia="Times New Roman" w:hAnsi="Arial" w:cs="Arial"/>
          <w:b/>
          <w:color w:val="000000"/>
          <w:lang w:eastAsia="es-ES"/>
        </w:rPr>
        <w:t> y las recientes </w:t>
      </w:r>
      <w:r w:rsidRPr="004003A6">
        <w:rPr>
          <w:rFonts w:ascii="Arial" w:eastAsia="Times New Roman" w:hAnsi="Arial" w:cs="Arial"/>
          <w:b/>
          <w:bCs/>
          <w:color w:val="000000"/>
          <w:lang w:eastAsia="es-ES"/>
        </w:rPr>
        <w:t>reformas en el sistema de pensiones</w:t>
      </w:r>
      <w:r w:rsidRPr="004003A6">
        <w:rPr>
          <w:rFonts w:ascii="Arial" w:eastAsia="Times New Roman" w:hAnsi="Arial" w:cs="Arial"/>
          <w:b/>
          <w:color w:val="000000"/>
          <w:lang w:eastAsia="es-ES"/>
        </w:rPr>
        <w:t>, unido al </w:t>
      </w:r>
      <w:r w:rsidRPr="004003A6">
        <w:rPr>
          <w:rFonts w:ascii="Arial" w:eastAsia="Times New Roman" w:hAnsi="Arial" w:cs="Arial"/>
          <w:b/>
          <w:bCs/>
          <w:color w:val="000000"/>
          <w:lang w:eastAsia="es-ES"/>
        </w:rPr>
        <w:t>progresivo envejecimiento de la población</w:t>
      </w:r>
      <w:r w:rsidRPr="004003A6">
        <w:rPr>
          <w:rFonts w:ascii="Arial" w:eastAsia="Times New Roman" w:hAnsi="Arial" w:cs="Arial"/>
          <w:b/>
          <w:color w:val="000000"/>
          <w:lang w:eastAsia="es-ES"/>
        </w:rPr>
        <w:t> (en 2050 el 32% de la población española tendrá más de 65 años) ha deterioro de la confianza ciudadana en el sistema público de pensiones y generado una necesidad de ahorro privado.</w:t>
      </w:r>
    </w:p>
    <w:p w:rsidR="004003A6" w:rsidRPr="004003A6" w:rsidRDefault="004003A6" w:rsidP="004003A6">
      <w:pPr>
        <w:shd w:val="clear" w:color="auto" w:fill="FFFFFF"/>
        <w:spacing w:after="0" w:line="270" w:lineRule="atLeast"/>
        <w:jc w:val="center"/>
        <w:rPr>
          <w:rFonts w:ascii="Arial" w:eastAsia="Times New Roman" w:hAnsi="Arial" w:cs="Arial"/>
          <w:b/>
          <w:color w:val="666666"/>
          <w:lang w:eastAsia="es-ES"/>
        </w:rPr>
      </w:pP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color w:val="000000"/>
          <w:lang w:eastAsia="es-ES"/>
        </w:rPr>
        <w:t>Ante esta situación, los especialistas plantean en el citado informe un conjunto de </w:t>
      </w:r>
      <w:r w:rsidRPr="004003A6">
        <w:rPr>
          <w:rFonts w:ascii="Arial" w:eastAsia="Times New Roman" w:hAnsi="Arial" w:cs="Arial"/>
          <w:b/>
          <w:bCs/>
          <w:color w:val="000000"/>
          <w:lang w:eastAsia="es-ES"/>
        </w:rPr>
        <w:t>Recomendaciones</w:t>
      </w:r>
      <w:r w:rsidRPr="004003A6">
        <w:rPr>
          <w:rFonts w:ascii="Arial" w:eastAsia="Times New Roman" w:hAnsi="Arial" w:cs="Arial"/>
          <w:b/>
          <w:color w:val="000000"/>
          <w:lang w:eastAsia="es-ES"/>
        </w:rPr>
        <w:t> dirigidas a Administraciones, Empresas y Ciudadanos, que pretenden </w:t>
      </w:r>
      <w:r w:rsidRPr="004003A6">
        <w:rPr>
          <w:rFonts w:ascii="Arial" w:eastAsia="Times New Roman" w:hAnsi="Arial" w:cs="Arial"/>
          <w:b/>
          <w:bCs/>
          <w:color w:val="000000"/>
          <w:lang w:eastAsia="es-ES"/>
        </w:rPr>
        <w:t>fomentar la cultura del ahorro</w:t>
      </w:r>
      <w:r w:rsidRPr="004003A6">
        <w:rPr>
          <w:rFonts w:ascii="Arial" w:eastAsia="Times New Roman" w:hAnsi="Arial" w:cs="Arial"/>
          <w:b/>
          <w:color w:val="000000"/>
          <w:lang w:eastAsia="es-ES"/>
        </w:rPr>
        <w:t> y mejorar así la capacidad económica de las personas mayores para permitirles hacer frente a sus necesidades económicas en la etapa de la jubilación.</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bCs/>
          <w:color w:val="000000"/>
          <w:lang w:eastAsia="es-ES"/>
        </w:rPr>
        <w:t>Recomendaciones dirigidas a la Administración:</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color w:val="000000"/>
          <w:lang w:eastAsia="es-ES"/>
        </w:rPr>
        <w:t>1.- Debería garantizarse un </w:t>
      </w:r>
      <w:r w:rsidRPr="004003A6">
        <w:rPr>
          <w:rFonts w:ascii="Arial" w:eastAsia="Times New Roman" w:hAnsi="Arial" w:cs="Arial"/>
          <w:b/>
          <w:bCs/>
          <w:color w:val="000000"/>
          <w:lang w:eastAsia="es-ES"/>
        </w:rPr>
        <w:t>marco legal estable</w:t>
      </w:r>
      <w:r w:rsidRPr="004003A6">
        <w:rPr>
          <w:rFonts w:ascii="Arial" w:eastAsia="Times New Roman" w:hAnsi="Arial" w:cs="Arial"/>
          <w:b/>
          <w:color w:val="000000"/>
          <w:lang w:eastAsia="es-ES"/>
        </w:rPr>
        <w:t>, sin continuas reformas, que permita a los ciudadanos planificar su jubilación sin incertidumbres.</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color w:val="000000"/>
          <w:lang w:eastAsia="es-ES"/>
        </w:rPr>
        <w:t>2.- Debería </w:t>
      </w:r>
      <w:r w:rsidRPr="004003A6">
        <w:rPr>
          <w:rFonts w:ascii="Arial" w:eastAsia="Times New Roman" w:hAnsi="Arial" w:cs="Arial"/>
          <w:b/>
          <w:bCs/>
          <w:color w:val="000000"/>
          <w:lang w:eastAsia="es-ES"/>
        </w:rPr>
        <w:t>mejorarse la información</w:t>
      </w:r>
      <w:r w:rsidRPr="004003A6">
        <w:rPr>
          <w:rFonts w:ascii="Arial" w:eastAsia="Times New Roman" w:hAnsi="Arial" w:cs="Arial"/>
          <w:b/>
          <w:color w:val="000000"/>
          <w:lang w:eastAsia="es-ES"/>
        </w:rPr>
        <w:t> que reciben los ciudadanos:</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bCs/>
          <w:color w:val="000000"/>
          <w:lang w:eastAsia="es-ES"/>
        </w:rPr>
        <w:t>  ·  </w:t>
      </w:r>
      <w:r w:rsidRPr="004003A6">
        <w:rPr>
          <w:rFonts w:ascii="Arial" w:eastAsia="Times New Roman" w:hAnsi="Arial" w:cs="Arial"/>
          <w:b/>
          <w:color w:val="000000"/>
          <w:lang w:eastAsia="es-ES"/>
        </w:rPr>
        <w:t>Con acciones para divulgar el funcionamiento del sistema de pensiones en España y los riesgos a los que está sometido.</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bCs/>
          <w:color w:val="000000"/>
          <w:lang w:eastAsia="es-ES"/>
        </w:rPr>
        <w:t>  ·  </w:t>
      </w:r>
      <w:r w:rsidRPr="004003A6">
        <w:rPr>
          <w:rFonts w:ascii="Arial" w:eastAsia="Times New Roman" w:hAnsi="Arial" w:cs="Arial"/>
          <w:b/>
          <w:color w:val="000000"/>
          <w:lang w:eastAsia="es-ES"/>
        </w:rPr>
        <w:t>Impulsando definitivamente  las acciones de comunicación ya previstas para dar a conocer las contribuciones del trabajador y de la empresa al sistema, así como la cuantía de la pensión pública probable en el momento de la jubilación.</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bCs/>
          <w:color w:val="000000"/>
          <w:lang w:eastAsia="es-ES"/>
        </w:rPr>
        <w:t>  ·  </w:t>
      </w:r>
      <w:r w:rsidRPr="004003A6">
        <w:rPr>
          <w:rFonts w:ascii="Arial" w:eastAsia="Times New Roman" w:hAnsi="Arial" w:cs="Arial"/>
          <w:b/>
          <w:color w:val="000000"/>
          <w:lang w:eastAsia="es-ES"/>
        </w:rPr>
        <w:t>Divulgando que el buen funcionamiento del sistema financiero y asegurador en España está garantizado por los Organismos Reguladores (Dirección General de Seguros y Fondos de Pensiones, Banco de España y Comisión Nacional del Mercado de Valores)</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bCs/>
          <w:color w:val="000000"/>
          <w:lang w:eastAsia="es-ES"/>
        </w:rPr>
        <w:t>  ·  </w:t>
      </w:r>
      <w:r w:rsidRPr="004003A6">
        <w:rPr>
          <w:rFonts w:ascii="Arial" w:eastAsia="Times New Roman" w:hAnsi="Arial" w:cs="Arial"/>
          <w:b/>
          <w:color w:val="000000"/>
          <w:lang w:eastAsia="es-ES"/>
        </w:rPr>
        <w:t>Fomentando, desde los Organismos Reguladores, campañas periódicas de información sobre los distintos productos de previsión y ahorro existentes en el mercado.</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color w:val="000000"/>
          <w:lang w:eastAsia="es-ES"/>
        </w:rPr>
        <w:t>3.- Debería fomentarse la</w:t>
      </w:r>
      <w:r w:rsidRPr="004003A6">
        <w:rPr>
          <w:rFonts w:ascii="Arial" w:eastAsia="Times New Roman" w:hAnsi="Arial" w:cs="Arial"/>
          <w:b/>
          <w:bCs/>
          <w:color w:val="000000"/>
          <w:lang w:eastAsia="es-ES"/>
        </w:rPr>
        <w:t> cultura del ahorro</w:t>
      </w:r>
      <w:r w:rsidRPr="004003A6">
        <w:rPr>
          <w:rFonts w:ascii="Arial" w:eastAsia="Times New Roman" w:hAnsi="Arial" w:cs="Arial"/>
          <w:b/>
          <w:color w:val="000000"/>
          <w:lang w:eastAsia="es-ES"/>
        </w:rPr>
        <w:t> entre los ciudadanos y emprender acciones para mejorar su educación financiera:</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bCs/>
          <w:color w:val="000000"/>
          <w:lang w:eastAsia="es-ES"/>
        </w:rPr>
        <w:lastRenderedPageBreak/>
        <w:t>  ·  </w:t>
      </w:r>
      <w:r w:rsidRPr="004003A6">
        <w:rPr>
          <w:rFonts w:ascii="Arial" w:eastAsia="Times New Roman" w:hAnsi="Arial" w:cs="Arial"/>
          <w:b/>
          <w:color w:val="000000"/>
          <w:lang w:eastAsia="es-ES"/>
        </w:rPr>
        <w:t>Desde la infancia, con programas específicos de educación financiera incluidos en el plan de estudios, en la línea de algunas experiencias que ya se están llevando a cabo en el marco del Plan de Educación Financiera impulsado por la CNMV y el Banco de España, entre otras.</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bCs/>
          <w:color w:val="000000"/>
          <w:lang w:eastAsia="es-ES"/>
        </w:rPr>
        <w:t>  ·  </w:t>
      </w:r>
      <w:r w:rsidRPr="004003A6">
        <w:rPr>
          <w:rFonts w:ascii="Arial" w:eastAsia="Times New Roman" w:hAnsi="Arial" w:cs="Arial"/>
          <w:b/>
          <w:color w:val="000000"/>
          <w:lang w:eastAsia="es-ES"/>
        </w:rPr>
        <w:t>En la etapa adulta, con consejos y herramientas que permitan organizar la economía doméstica y planificar las necesidades económicas en cada etapa de la vida.</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bCs/>
          <w:color w:val="000000"/>
          <w:lang w:eastAsia="es-ES"/>
        </w:rPr>
        <w:t>  ·  </w:t>
      </w:r>
      <w:r w:rsidRPr="004003A6">
        <w:rPr>
          <w:rFonts w:ascii="Arial" w:eastAsia="Times New Roman" w:hAnsi="Arial" w:cs="Arial"/>
          <w:b/>
          <w:color w:val="000000"/>
          <w:lang w:eastAsia="es-ES"/>
        </w:rPr>
        <w:t>Con campañas de comunicación que refuercen la idea de que empezar a ahorrar cuanto antes, de forma constante y sistemática, es la mejor opción para asegurarse una buena situación económica futura y la que requiere un menor esfuerzo.</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bCs/>
          <w:color w:val="000000"/>
          <w:lang w:eastAsia="es-ES"/>
        </w:rPr>
        <w:t>  ·  </w:t>
      </w:r>
      <w:r w:rsidRPr="004003A6">
        <w:rPr>
          <w:rFonts w:ascii="Arial" w:eastAsia="Times New Roman" w:hAnsi="Arial" w:cs="Arial"/>
          <w:b/>
          <w:color w:val="000000"/>
          <w:lang w:eastAsia="es-ES"/>
        </w:rPr>
        <w:t>Dando apoyo y respaldando públicamente al sector financiero y asegurador en su labor informativa, de educación y asesoramiento de los ciudadanos.</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color w:val="000000"/>
          <w:lang w:eastAsia="es-ES"/>
        </w:rPr>
        <w:t>4.- Debería ponerse en valor e incentivarse la </w:t>
      </w:r>
      <w:r w:rsidRPr="004003A6">
        <w:rPr>
          <w:rFonts w:ascii="Arial" w:eastAsia="Times New Roman" w:hAnsi="Arial" w:cs="Arial"/>
          <w:b/>
          <w:bCs/>
          <w:color w:val="000000"/>
          <w:lang w:eastAsia="es-ES"/>
        </w:rPr>
        <w:t>previsión y ahorro voluntario finalista</w:t>
      </w:r>
      <w:r w:rsidRPr="004003A6">
        <w:rPr>
          <w:rFonts w:ascii="Arial" w:eastAsia="Times New Roman" w:hAnsi="Arial" w:cs="Arial"/>
          <w:b/>
          <w:color w:val="000000"/>
          <w:lang w:eastAsia="es-ES"/>
        </w:rPr>
        <w:t> (individual y a través de la empresa) y la diversificación entre los diferentes instrumentos de ahorro previsional para la jubilación.</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bCs/>
          <w:color w:val="000000"/>
          <w:lang w:eastAsia="es-ES"/>
        </w:rPr>
        <w:t>  ·  </w:t>
      </w:r>
      <w:r w:rsidRPr="004003A6">
        <w:rPr>
          <w:rFonts w:ascii="Arial" w:eastAsia="Times New Roman" w:hAnsi="Arial" w:cs="Arial"/>
          <w:b/>
          <w:color w:val="000000"/>
          <w:lang w:eastAsia="es-ES"/>
        </w:rPr>
        <w:t>Trabajando conjuntamente con el Sector Financiero y Asegurador en el diseño de un sistema privado de pensiones que complemente al sistema público de pensiones.</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bCs/>
          <w:color w:val="000000"/>
          <w:lang w:eastAsia="es-ES"/>
        </w:rPr>
        <w:t>  ·  </w:t>
      </w:r>
      <w:r w:rsidRPr="004003A6">
        <w:rPr>
          <w:rFonts w:ascii="Arial" w:eastAsia="Times New Roman" w:hAnsi="Arial" w:cs="Arial"/>
          <w:b/>
          <w:color w:val="000000"/>
          <w:lang w:eastAsia="es-ES"/>
        </w:rPr>
        <w:t>Tomando en consideración la adopción de un sistema de inclusión automática de los trabajadores en un plan de pensiones de empresa, similar al introducido en el Reino Unido, del cual sería posible desligarse si así lo deseara el trabajador. </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bCs/>
          <w:color w:val="000000"/>
          <w:lang w:eastAsia="es-ES"/>
        </w:rPr>
        <w:t>  ·  </w:t>
      </w:r>
      <w:r w:rsidRPr="004003A6">
        <w:rPr>
          <w:rFonts w:ascii="Arial" w:eastAsia="Times New Roman" w:hAnsi="Arial" w:cs="Arial"/>
          <w:b/>
          <w:color w:val="000000"/>
          <w:lang w:eastAsia="es-ES"/>
        </w:rPr>
        <w:t>Proporcionando un tratamiento fiscal adecuado a todos los instrumentos de previsión y ahorro finalista a largo plazo, que en ningún caso desincentive su contratación.</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bCs/>
          <w:color w:val="000000"/>
          <w:lang w:eastAsia="es-ES"/>
        </w:rPr>
        <w:t> Recomendaciones dirigidas a las compañías financieras y aseguradoras</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color w:val="000000"/>
          <w:lang w:eastAsia="es-ES"/>
        </w:rPr>
        <w:t>1.- Debería fomentarse el </w:t>
      </w:r>
      <w:r w:rsidRPr="004003A6">
        <w:rPr>
          <w:rFonts w:ascii="Arial" w:eastAsia="Times New Roman" w:hAnsi="Arial" w:cs="Arial"/>
          <w:b/>
          <w:bCs/>
          <w:color w:val="000000"/>
          <w:lang w:eastAsia="es-ES"/>
        </w:rPr>
        <w:t>papel complementario a la pensión pública</w:t>
      </w:r>
      <w:r w:rsidRPr="004003A6">
        <w:rPr>
          <w:rFonts w:ascii="Arial" w:eastAsia="Times New Roman" w:hAnsi="Arial" w:cs="Arial"/>
          <w:b/>
          <w:color w:val="000000"/>
          <w:lang w:eastAsia="es-ES"/>
        </w:rPr>
        <w:t> que deberían jugar las pensiones privadas, colaborando conjuntamente con la Administración en el diseño del sistema de pensiones privado en España.</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color w:val="000000"/>
          <w:lang w:eastAsia="es-ES"/>
        </w:rPr>
        <w:t>2.- Debería mejorarse el </w:t>
      </w:r>
      <w:r w:rsidRPr="004003A6">
        <w:rPr>
          <w:rFonts w:ascii="Arial" w:eastAsia="Times New Roman" w:hAnsi="Arial" w:cs="Arial"/>
          <w:b/>
          <w:bCs/>
          <w:color w:val="000000"/>
          <w:lang w:eastAsia="es-ES"/>
        </w:rPr>
        <w:t>asesoramiento</w:t>
      </w:r>
      <w:r w:rsidRPr="004003A6">
        <w:rPr>
          <w:rFonts w:ascii="Arial" w:eastAsia="Times New Roman" w:hAnsi="Arial" w:cs="Arial"/>
          <w:b/>
          <w:color w:val="000000"/>
          <w:lang w:eastAsia="es-ES"/>
        </w:rPr>
        <w:t> a los ciudadanos para planificar su jubilación en función de sus necesidades y preferencias personales.</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bCs/>
          <w:color w:val="000000"/>
          <w:lang w:eastAsia="es-ES"/>
        </w:rPr>
        <w:t>  ·  </w:t>
      </w:r>
      <w:r w:rsidRPr="004003A6">
        <w:rPr>
          <w:rFonts w:ascii="Arial" w:eastAsia="Times New Roman" w:hAnsi="Arial" w:cs="Arial"/>
          <w:b/>
          <w:color w:val="000000"/>
          <w:lang w:eastAsia="es-ES"/>
        </w:rPr>
        <w:t>Fomentando que los ciudadanos acudan a asesores financieros que acrediten una </w:t>
      </w:r>
      <w:r w:rsidRPr="004003A6">
        <w:rPr>
          <w:rFonts w:ascii="Arial" w:eastAsia="Times New Roman" w:hAnsi="Arial" w:cs="Arial"/>
          <w:b/>
          <w:bCs/>
          <w:color w:val="000000"/>
          <w:lang w:eastAsia="es-ES"/>
        </w:rPr>
        <w:t>experiencia y un conocimiento</w:t>
      </w:r>
      <w:r w:rsidRPr="004003A6">
        <w:rPr>
          <w:rFonts w:ascii="Arial" w:eastAsia="Times New Roman" w:hAnsi="Arial" w:cs="Arial"/>
          <w:b/>
          <w:color w:val="000000"/>
          <w:lang w:eastAsia="es-ES"/>
        </w:rPr>
        <w:t> mínimo certificado para llevar a cabo el asesoramiento financiero.</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bCs/>
          <w:color w:val="000000"/>
          <w:lang w:eastAsia="es-ES"/>
        </w:rPr>
        <w:t>  ·  </w:t>
      </w:r>
      <w:r w:rsidRPr="004003A6">
        <w:rPr>
          <w:rFonts w:ascii="Arial" w:eastAsia="Times New Roman" w:hAnsi="Arial" w:cs="Arial"/>
          <w:b/>
          <w:color w:val="000000"/>
          <w:lang w:eastAsia="es-ES"/>
        </w:rPr>
        <w:t>Fomentando una </w:t>
      </w:r>
      <w:r w:rsidRPr="004003A6">
        <w:rPr>
          <w:rFonts w:ascii="Arial" w:eastAsia="Times New Roman" w:hAnsi="Arial" w:cs="Arial"/>
          <w:b/>
          <w:bCs/>
          <w:color w:val="000000"/>
          <w:lang w:eastAsia="es-ES"/>
        </w:rPr>
        <w:t>cultura financiera básica</w:t>
      </w:r>
      <w:r w:rsidRPr="004003A6">
        <w:rPr>
          <w:rFonts w:ascii="Arial" w:eastAsia="Times New Roman" w:hAnsi="Arial" w:cs="Arial"/>
          <w:b/>
          <w:color w:val="000000"/>
          <w:lang w:eastAsia="es-ES"/>
        </w:rPr>
        <w:t> entre aquellas personas que no tienen hábitos de ahorro, aportando información sobre el funcionamiento del sistema de pensiones, sus posibles necesidades en cada etapa de la jubilación y las ventajas de planificarla.</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bCs/>
          <w:color w:val="000000"/>
          <w:lang w:eastAsia="es-ES"/>
        </w:rPr>
        <w:t>  ·  </w:t>
      </w:r>
      <w:r w:rsidRPr="004003A6">
        <w:rPr>
          <w:rFonts w:ascii="Arial" w:eastAsia="Times New Roman" w:hAnsi="Arial" w:cs="Arial"/>
          <w:b/>
          <w:color w:val="000000"/>
          <w:lang w:eastAsia="es-ES"/>
        </w:rPr>
        <w:t>Proporcionando herramientas que permitan </w:t>
      </w:r>
      <w:r w:rsidRPr="004003A6">
        <w:rPr>
          <w:rFonts w:ascii="Arial" w:eastAsia="Times New Roman" w:hAnsi="Arial" w:cs="Arial"/>
          <w:b/>
          <w:bCs/>
          <w:color w:val="000000"/>
          <w:lang w:eastAsia="es-ES"/>
        </w:rPr>
        <w:t>organizar la economía doméstica</w:t>
      </w:r>
      <w:r w:rsidRPr="004003A6">
        <w:rPr>
          <w:rFonts w:ascii="Arial" w:eastAsia="Times New Roman" w:hAnsi="Arial" w:cs="Arial"/>
          <w:b/>
          <w:color w:val="000000"/>
          <w:lang w:eastAsia="es-ES"/>
        </w:rPr>
        <w:t> y planificar las necesidades económicas en cada etapa de la vida.</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bCs/>
          <w:color w:val="000000"/>
          <w:lang w:eastAsia="es-ES"/>
        </w:rPr>
        <w:lastRenderedPageBreak/>
        <w:t>  ·  Aconsejando</w:t>
      </w:r>
      <w:r w:rsidRPr="004003A6">
        <w:rPr>
          <w:rFonts w:ascii="Arial" w:eastAsia="Times New Roman" w:hAnsi="Arial" w:cs="Arial"/>
          <w:b/>
          <w:color w:val="000000"/>
          <w:lang w:eastAsia="es-ES"/>
        </w:rPr>
        <w:t>, a aquellos ciudadanos concienciados de la necesidad de ahorrar, entre los diferentes productos de previsión y ahorro en función de las características, necesidades y expectativas de gasto futuro de cada persona, de forma clara, transparente y completa, exponiendo los riesgos de la inversión, las comisiones y la rentabilidad de cada producto.</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color w:val="000000"/>
          <w:lang w:eastAsia="es-ES"/>
        </w:rPr>
        <w:t>3.- Deberían emprenderse acciones para divulgar los </w:t>
      </w:r>
      <w:r w:rsidRPr="004003A6">
        <w:rPr>
          <w:rFonts w:ascii="Arial" w:eastAsia="Times New Roman" w:hAnsi="Arial" w:cs="Arial"/>
          <w:b/>
          <w:bCs/>
          <w:color w:val="000000"/>
          <w:lang w:eastAsia="es-ES"/>
        </w:rPr>
        <w:t>códigos éticos</w:t>
      </w:r>
      <w:r w:rsidRPr="004003A6">
        <w:rPr>
          <w:rFonts w:ascii="Arial" w:eastAsia="Times New Roman" w:hAnsi="Arial" w:cs="Arial"/>
          <w:b/>
          <w:color w:val="000000"/>
          <w:lang w:eastAsia="es-ES"/>
        </w:rPr>
        <w:t>, ejemplos de buenas prácticas en el ámbito del asesoramiento, y demás acciones de Responsabilidad Social Empresarial, llevadas a cabo por las entidades financieras y aseguradoras.</w:t>
      </w:r>
    </w:p>
    <w:p w:rsidR="004003A6" w:rsidRPr="004003A6" w:rsidRDefault="004003A6" w:rsidP="004003A6">
      <w:pPr>
        <w:shd w:val="clear" w:color="auto" w:fill="FFFFFF"/>
        <w:spacing w:after="0" w:line="270" w:lineRule="atLeast"/>
        <w:jc w:val="center"/>
        <w:rPr>
          <w:rFonts w:ascii="Arial" w:eastAsia="Times New Roman" w:hAnsi="Arial" w:cs="Arial"/>
          <w:b/>
          <w:color w:val="666666"/>
          <w:lang w:eastAsia="es-ES"/>
        </w:rPr>
      </w:pP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bCs/>
          <w:color w:val="000000"/>
          <w:lang w:eastAsia="es-ES"/>
        </w:rPr>
        <w:t>Recomendaciones dirigidas a los ciudadanos</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color w:val="000000"/>
          <w:lang w:eastAsia="es-ES"/>
        </w:rPr>
        <w:t>1.- Aunque se ha incrementado la concienciación sobre la necesidad del ahorro y la planificación para la jubilación entre la población en los últimos años, todavía no se ha consolidado una </w:t>
      </w:r>
      <w:r w:rsidRPr="004003A6">
        <w:rPr>
          <w:rFonts w:ascii="Arial" w:eastAsia="Times New Roman" w:hAnsi="Arial" w:cs="Arial"/>
          <w:b/>
          <w:bCs/>
          <w:color w:val="000000"/>
          <w:lang w:eastAsia="es-ES"/>
        </w:rPr>
        <w:t>verdadera cultura del ahorro</w:t>
      </w:r>
      <w:r w:rsidRPr="004003A6">
        <w:rPr>
          <w:rFonts w:ascii="Arial" w:eastAsia="Times New Roman" w:hAnsi="Arial" w:cs="Arial"/>
          <w:b/>
          <w:color w:val="000000"/>
          <w:lang w:eastAsia="es-ES"/>
        </w:rPr>
        <w:t> en España, para lo que es necesario que los ciudadanos asuman su responsabilidad individual en este ámbito.</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color w:val="000000"/>
          <w:lang w:eastAsia="es-ES"/>
        </w:rPr>
        <w:t>2.- Debería </w:t>
      </w:r>
      <w:r w:rsidRPr="004003A6">
        <w:rPr>
          <w:rFonts w:ascii="Arial" w:eastAsia="Times New Roman" w:hAnsi="Arial" w:cs="Arial"/>
          <w:b/>
          <w:bCs/>
          <w:color w:val="000000"/>
          <w:lang w:eastAsia="es-ES"/>
        </w:rPr>
        <w:t>calcularse el nivel de ingresos necesario</w:t>
      </w:r>
      <w:r w:rsidRPr="004003A6">
        <w:rPr>
          <w:rFonts w:ascii="Arial" w:eastAsia="Times New Roman" w:hAnsi="Arial" w:cs="Arial"/>
          <w:b/>
          <w:color w:val="000000"/>
          <w:lang w:eastAsia="es-ES"/>
        </w:rPr>
        <w:t> y el origen de los mismos para poder cubrir las necesidades en la etapa de la jubilación. Hay que tener en cuenta que hay una serie de gastos que disminuyen pero también hay que prever el incremento de otros tales como los relacionados con el ocio o la salud.</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color w:val="000000"/>
          <w:lang w:eastAsia="es-ES"/>
        </w:rPr>
        <w:t>3.- En este sentido, cualquier persona debería </w:t>
      </w:r>
      <w:r w:rsidRPr="004003A6">
        <w:rPr>
          <w:rFonts w:ascii="Arial" w:eastAsia="Times New Roman" w:hAnsi="Arial" w:cs="Arial"/>
          <w:b/>
          <w:bCs/>
          <w:color w:val="000000"/>
          <w:lang w:eastAsia="es-ES"/>
        </w:rPr>
        <w:t>plantearse el ahorro privado</w:t>
      </w:r>
      <w:r w:rsidRPr="004003A6">
        <w:rPr>
          <w:rFonts w:ascii="Arial" w:eastAsia="Times New Roman" w:hAnsi="Arial" w:cs="Arial"/>
          <w:b/>
          <w:color w:val="000000"/>
          <w:lang w:eastAsia="es-ES"/>
        </w:rPr>
        <w:t> necesario para complementar la pensión de jubilación,  en qué modo va ahorrarse, el riesgo que se está dispuesto a asumir y si se tiene la intención de dejar algún capital a los familiares.</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color w:val="000000"/>
          <w:lang w:eastAsia="es-ES"/>
        </w:rPr>
        <w:t>4.- Empezar a </w:t>
      </w:r>
      <w:r w:rsidRPr="004003A6">
        <w:rPr>
          <w:rFonts w:ascii="Arial" w:eastAsia="Times New Roman" w:hAnsi="Arial" w:cs="Arial"/>
          <w:b/>
          <w:bCs/>
          <w:color w:val="000000"/>
          <w:lang w:eastAsia="es-ES"/>
        </w:rPr>
        <w:t>ahorrar cuanto antes</w:t>
      </w:r>
      <w:r w:rsidRPr="004003A6">
        <w:rPr>
          <w:rFonts w:ascii="Arial" w:eastAsia="Times New Roman" w:hAnsi="Arial" w:cs="Arial"/>
          <w:b/>
          <w:color w:val="000000"/>
          <w:lang w:eastAsia="es-ES"/>
        </w:rPr>
        <w:t>, de forma constante y sistemática, es la mejor forma de asegurarse una buena situación económica futura y la que requiere un menor esfuerzo.</w:t>
      </w:r>
    </w:p>
    <w:p w:rsidR="004003A6" w:rsidRPr="004003A6" w:rsidRDefault="004003A6" w:rsidP="004003A6">
      <w:pPr>
        <w:shd w:val="clear" w:color="auto" w:fill="FFFFFF"/>
        <w:spacing w:after="225" w:line="270" w:lineRule="atLeast"/>
        <w:rPr>
          <w:rFonts w:ascii="Arial" w:eastAsia="Times New Roman" w:hAnsi="Arial" w:cs="Arial"/>
          <w:b/>
          <w:color w:val="666666"/>
          <w:lang w:eastAsia="es-ES"/>
        </w:rPr>
      </w:pPr>
      <w:r w:rsidRPr="004003A6">
        <w:rPr>
          <w:rFonts w:ascii="Arial" w:eastAsia="Times New Roman" w:hAnsi="Arial" w:cs="Arial"/>
          <w:b/>
          <w:color w:val="000000"/>
          <w:lang w:eastAsia="es-ES"/>
        </w:rPr>
        <w:t>5.- Debería tenerse en cuenta la etapa vital en que se esté considerando ahorrar para la jubilación, y confiar en el asesoramiento profesional para </w:t>
      </w:r>
      <w:r w:rsidRPr="004003A6">
        <w:rPr>
          <w:rFonts w:ascii="Arial" w:eastAsia="Times New Roman" w:hAnsi="Arial" w:cs="Arial"/>
          <w:b/>
          <w:bCs/>
          <w:color w:val="000000"/>
          <w:lang w:eastAsia="es-ES"/>
        </w:rPr>
        <w:t>elegir la mejor forma de ahorro</w:t>
      </w:r>
      <w:r w:rsidRPr="004003A6">
        <w:rPr>
          <w:rFonts w:ascii="Arial" w:eastAsia="Times New Roman" w:hAnsi="Arial" w:cs="Arial"/>
          <w:b/>
          <w:color w:val="000000"/>
          <w:lang w:eastAsia="es-ES"/>
        </w:rPr>
        <w:t> en cada momento.</w:t>
      </w:r>
    </w:p>
    <w:p w:rsidR="004003A6" w:rsidRPr="004003A6" w:rsidRDefault="004003A6" w:rsidP="004003A6">
      <w:pPr>
        <w:shd w:val="clear" w:color="auto" w:fill="FFFFFF"/>
        <w:spacing w:line="270" w:lineRule="atLeast"/>
        <w:rPr>
          <w:rFonts w:ascii="Arial" w:eastAsia="Times New Roman" w:hAnsi="Arial" w:cs="Arial"/>
          <w:b/>
          <w:color w:val="666666"/>
          <w:lang w:eastAsia="es-ES"/>
        </w:rPr>
      </w:pPr>
      <w:r w:rsidRPr="004003A6">
        <w:rPr>
          <w:rFonts w:ascii="Arial" w:eastAsia="Times New Roman" w:hAnsi="Arial" w:cs="Arial"/>
          <w:b/>
          <w:color w:val="000000"/>
          <w:lang w:eastAsia="es-ES"/>
        </w:rPr>
        <w:t>6.- En el momento de la jubilación es importante tener una </w:t>
      </w:r>
      <w:r w:rsidRPr="004003A6">
        <w:rPr>
          <w:rFonts w:ascii="Arial" w:eastAsia="Times New Roman" w:hAnsi="Arial" w:cs="Arial"/>
          <w:b/>
          <w:bCs/>
          <w:color w:val="000000"/>
          <w:lang w:eastAsia="es-ES"/>
        </w:rPr>
        <w:t>visión de conjunto del ahorro</w:t>
      </w:r>
      <w:r w:rsidRPr="004003A6">
        <w:rPr>
          <w:rFonts w:ascii="Arial" w:eastAsia="Times New Roman" w:hAnsi="Arial" w:cs="Arial"/>
          <w:b/>
          <w:color w:val="000000"/>
          <w:lang w:eastAsia="es-ES"/>
        </w:rPr>
        <w:t> total acumulado y planificar la mejor forma de utilizarlo.</w:t>
      </w:r>
    </w:p>
    <w:p w:rsidR="002B04C1" w:rsidRPr="004003A6" w:rsidRDefault="002B04C1" w:rsidP="004003A6">
      <w:pPr>
        <w:rPr>
          <w:b/>
          <w:lang w:val="en-US"/>
        </w:rPr>
      </w:pPr>
    </w:p>
    <w:sectPr w:rsidR="002B04C1" w:rsidRPr="004003A6" w:rsidSect="002B04C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B30B54"/>
    <w:multiLevelType w:val="multilevel"/>
    <w:tmpl w:val="CDDACF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003A6"/>
    <w:rsid w:val="002B04C1"/>
    <w:rsid w:val="00306043"/>
    <w:rsid w:val="004003A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4C1"/>
  </w:style>
  <w:style w:type="paragraph" w:styleId="Ttulo1">
    <w:name w:val="heading 1"/>
    <w:basedOn w:val="Normal"/>
    <w:link w:val="Ttulo1Car"/>
    <w:uiPriority w:val="9"/>
    <w:qFormat/>
    <w:rsid w:val="004003A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003A6"/>
    <w:rPr>
      <w:rFonts w:ascii="Times New Roman" w:eastAsia="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4003A6"/>
    <w:rPr>
      <w:color w:val="0000FF"/>
      <w:u w:val="single"/>
    </w:rPr>
  </w:style>
  <w:style w:type="character" w:customStyle="1" w:styleId="meta-author">
    <w:name w:val="meta-author"/>
    <w:basedOn w:val="Fuentedeprrafopredeter"/>
    <w:rsid w:val="004003A6"/>
  </w:style>
  <w:style w:type="character" w:customStyle="1" w:styleId="apple-converted-space">
    <w:name w:val="apple-converted-space"/>
    <w:basedOn w:val="Fuentedeprrafopredeter"/>
    <w:rsid w:val="004003A6"/>
  </w:style>
  <w:style w:type="character" w:customStyle="1" w:styleId="meta-date">
    <w:name w:val="meta-date"/>
    <w:basedOn w:val="Fuentedeprrafopredeter"/>
    <w:rsid w:val="004003A6"/>
  </w:style>
  <w:style w:type="character" w:customStyle="1" w:styleId="meta-comments">
    <w:name w:val="meta-comments"/>
    <w:basedOn w:val="Fuentedeprrafopredeter"/>
    <w:rsid w:val="004003A6"/>
  </w:style>
  <w:style w:type="character" w:customStyle="1" w:styleId="meta-view">
    <w:name w:val="meta-view"/>
    <w:basedOn w:val="Fuentedeprrafopredeter"/>
    <w:rsid w:val="004003A6"/>
  </w:style>
  <w:style w:type="paragraph" w:styleId="NormalWeb">
    <w:name w:val="Normal (Web)"/>
    <w:basedOn w:val="Normal"/>
    <w:uiPriority w:val="99"/>
    <w:semiHidden/>
    <w:unhideWhenUsed/>
    <w:rsid w:val="004003A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4003A6"/>
    <w:rPr>
      <w:b/>
      <w:bCs/>
    </w:rPr>
  </w:style>
  <w:style w:type="paragraph" w:customStyle="1" w:styleId="wp-caption-text">
    <w:name w:val="wp-caption-text"/>
    <w:basedOn w:val="Normal"/>
    <w:rsid w:val="004003A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4003A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003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54534705">
      <w:bodyDiv w:val="1"/>
      <w:marLeft w:val="0"/>
      <w:marRight w:val="0"/>
      <w:marTop w:val="0"/>
      <w:marBottom w:val="0"/>
      <w:divBdr>
        <w:top w:val="none" w:sz="0" w:space="0" w:color="auto"/>
        <w:left w:val="none" w:sz="0" w:space="0" w:color="auto"/>
        <w:bottom w:val="none" w:sz="0" w:space="0" w:color="auto"/>
        <w:right w:val="none" w:sz="0" w:space="0" w:color="auto"/>
      </w:divBdr>
      <w:divsChild>
        <w:div w:id="1952739401">
          <w:marLeft w:val="0"/>
          <w:marRight w:val="0"/>
          <w:marTop w:val="150"/>
          <w:marBottom w:val="150"/>
          <w:divBdr>
            <w:top w:val="none" w:sz="0" w:space="0" w:color="auto"/>
            <w:left w:val="none" w:sz="0" w:space="0" w:color="auto"/>
            <w:bottom w:val="none" w:sz="0" w:space="0" w:color="auto"/>
            <w:right w:val="none" w:sz="0" w:space="0" w:color="auto"/>
          </w:divBdr>
          <w:divsChild>
            <w:div w:id="300117329">
              <w:marLeft w:val="0"/>
              <w:marRight w:val="0"/>
              <w:marTop w:val="0"/>
              <w:marBottom w:val="0"/>
              <w:divBdr>
                <w:top w:val="none" w:sz="0" w:space="0" w:color="auto"/>
                <w:left w:val="none" w:sz="0" w:space="0" w:color="auto"/>
                <w:bottom w:val="none" w:sz="0" w:space="0" w:color="auto"/>
                <w:right w:val="none" w:sz="0" w:space="0" w:color="auto"/>
              </w:divBdr>
            </w:div>
          </w:divsChild>
        </w:div>
        <w:div w:id="1377705221">
          <w:marLeft w:val="0"/>
          <w:marRight w:val="0"/>
          <w:marTop w:val="450"/>
          <w:marBottom w:val="0"/>
          <w:divBdr>
            <w:top w:val="single" w:sz="6" w:space="8" w:color="DDDDDD"/>
            <w:left w:val="single" w:sz="6" w:space="8" w:color="DDDDDD"/>
            <w:bottom w:val="single" w:sz="6" w:space="8" w:color="DDDDDD"/>
            <w:right w:val="single" w:sz="6" w:space="8" w:color="DDDDDD"/>
          </w:divBdr>
          <w:divsChild>
            <w:div w:id="172191431">
              <w:marLeft w:val="0"/>
              <w:marRight w:val="0"/>
              <w:marTop w:val="0"/>
              <w:marBottom w:val="0"/>
              <w:divBdr>
                <w:top w:val="none" w:sz="0" w:space="0" w:color="auto"/>
                <w:left w:val="none" w:sz="0" w:space="0" w:color="auto"/>
                <w:bottom w:val="none" w:sz="0" w:space="0" w:color="auto"/>
                <w:right w:val="none" w:sz="0" w:space="0" w:color="auto"/>
              </w:divBdr>
            </w:div>
            <w:div w:id="1843619249">
              <w:marLeft w:val="0"/>
              <w:marRight w:val="0"/>
              <w:marTop w:val="0"/>
              <w:marBottom w:val="0"/>
              <w:divBdr>
                <w:top w:val="none" w:sz="0" w:space="0" w:color="auto"/>
                <w:left w:val="none" w:sz="0" w:space="0" w:color="auto"/>
                <w:bottom w:val="none" w:sz="0" w:space="0" w:color="auto"/>
                <w:right w:val="none" w:sz="0" w:space="0" w:color="auto"/>
              </w:divBdr>
            </w:div>
          </w:divsChild>
        </w:div>
        <w:div w:id="531650095">
          <w:marLeft w:val="0"/>
          <w:marRight w:val="0"/>
          <w:marTop w:val="0"/>
          <w:marBottom w:val="0"/>
          <w:divBdr>
            <w:top w:val="none" w:sz="0" w:space="0" w:color="auto"/>
            <w:left w:val="none" w:sz="0" w:space="0" w:color="auto"/>
            <w:bottom w:val="none" w:sz="0" w:space="0" w:color="auto"/>
            <w:right w:val="none" w:sz="0" w:space="0" w:color="auto"/>
          </w:divBdr>
          <w:divsChild>
            <w:div w:id="693699655">
              <w:marLeft w:val="0"/>
              <w:marRight w:val="0"/>
              <w:marTop w:val="0"/>
              <w:marBottom w:val="0"/>
              <w:divBdr>
                <w:top w:val="none" w:sz="0" w:space="0" w:color="auto"/>
                <w:left w:val="none" w:sz="0" w:space="0" w:color="auto"/>
                <w:bottom w:val="none" w:sz="0" w:space="0" w:color="auto"/>
                <w:right w:val="none" w:sz="0" w:space="0" w:color="auto"/>
              </w:divBdr>
              <w:divsChild>
                <w:div w:id="1709717516">
                  <w:marLeft w:val="0"/>
                  <w:marRight w:val="0"/>
                  <w:marTop w:val="0"/>
                  <w:marBottom w:val="300"/>
                  <w:divBdr>
                    <w:top w:val="single" w:sz="6" w:space="8" w:color="DDDDDD"/>
                    <w:left w:val="single" w:sz="6" w:space="8" w:color="DDDDDD"/>
                    <w:bottom w:val="single" w:sz="6" w:space="8" w:color="DDDDDD"/>
                    <w:right w:val="single" w:sz="6" w:space="8" w:color="DDDDDD"/>
                  </w:divBdr>
                  <w:divsChild>
                    <w:div w:id="1742949948">
                      <w:marLeft w:val="0"/>
                      <w:marRight w:val="0"/>
                      <w:marTop w:val="0"/>
                      <w:marBottom w:val="0"/>
                      <w:divBdr>
                        <w:top w:val="none" w:sz="0" w:space="0" w:color="auto"/>
                        <w:left w:val="none" w:sz="0" w:space="0" w:color="auto"/>
                        <w:bottom w:val="none" w:sz="0" w:space="0" w:color="auto"/>
                        <w:right w:val="none" w:sz="0" w:space="0" w:color="auto"/>
                      </w:divBdr>
                    </w:div>
                  </w:divsChild>
                </w:div>
                <w:div w:id="722099628">
                  <w:marLeft w:val="0"/>
                  <w:marRight w:val="0"/>
                  <w:marTop w:val="0"/>
                  <w:marBottom w:val="225"/>
                  <w:divBdr>
                    <w:top w:val="single" w:sz="6" w:space="15" w:color="DDDDDD"/>
                    <w:left w:val="single" w:sz="6" w:space="15" w:color="DDDDDD"/>
                    <w:bottom w:val="single" w:sz="6" w:space="15" w:color="DDDDDD"/>
                    <w:right w:val="single" w:sz="6" w:space="15" w:color="DDDDDD"/>
                  </w:divBdr>
                  <w:divsChild>
                    <w:div w:id="258879983">
                      <w:marLeft w:val="0"/>
                      <w:marRight w:val="0"/>
                      <w:marTop w:val="0"/>
                      <w:marBottom w:val="0"/>
                      <w:divBdr>
                        <w:top w:val="none" w:sz="0" w:space="0" w:color="auto"/>
                        <w:left w:val="none" w:sz="0" w:space="0" w:color="auto"/>
                        <w:bottom w:val="none" w:sz="0" w:space="0" w:color="auto"/>
                        <w:right w:val="none" w:sz="0" w:space="0" w:color="auto"/>
                      </w:divBdr>
                      <w:divsChild>
                        <w:div w:id="825317903">
                          <w:marLeft w:val="0"/>
                          <w:marRight w:val="0"/>
                          <w:marTop w:val="0"/>
                          <w:marBottom w:val="225"/>
                          <w:divBdr>
                            <w:top w:val="none" w:sz="0" w:space="0" w:color="auto"/>
                            <w:left w:val="none" w:sz="0" w:space="0" w:color="auto"/>
                            <w:bottom w:val="dotted" w:sz="6" w:space="4" w:color="DDDDDD"/>
                            <w:right w:val="none" w:sz="0" w:space="0" w:color="auto"/>
                          </w:divBdr>
                        </w:div>
                        <w:div w:id="525946842">
                          <w:marLeft w:val="0"/>
                          <w:marRight w:val="0"/>
                          <w:marTop w:val="0"/>
                          <w:marBottom w:val="0"/>
                          <w:divBdr>
                            <w:top w:val="none" w:sz="0" w:space="0" w:color="auto"/>
                            <w:left w:val="none" w:sz="0" w:space="0" w:color="auto"/>
                            <w:bottom w:val="none" w:sz="0" w:space="0" w:color="auto"/>
                            <w:right w:val="none" w:sz="0" w:space="0" w:color="auto"/>
                          </w:divBdr>
                          <w:divsChild>
                            <w:div w:id="85348296">
                              <w:marLeft w:val="150"/>
                              <w:marRight w:val="150"/>
                              <w:marTop w:val="0"/>
                              <w:marBottom w:val="150"/>
                              <w:divBdr>
                                <w:top w:val="single" w:sz="6" w:space="4" w:color="E5E5E5"/>
                                <w:left w:val="single" w:sz="6" w:space="0" w:color="E5E5E5"/>
                                <w:bottom w:val="single" w:sz="6" w:space="0" w:color="E5E5E5"/>
                                <w:right w:val="single" w:sz="6" w:space="0" w:color="E5E5E5"/>
                              </w:divBdr>
                            </w:div>
                            <w:div w:id="1175920032">
                              <w:marLeft w:val="150"/>
                              <w:marRight w:val="150"/>
                              <w:marTop w:val="0"/>
                              <w:marBottom w:val="150"/>
                              <w:divBdr>
                                <w:top w:val="single" w:sz="6" w:space="4" w:color="E5E5E5"/>
                                <w:left w:val="single" w:sz="6" w:space="0" w:color="E5E5E5"/>
                                <w:bottom w:val="single" w:sz="6" w:space="0" w:color="E5E5E5"/>
                                <w:right w:val="single" w:sz="6" w:space="0" w:color="E5E5E5"/>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90A536-1FE9-4955-B1C6-D5A7C95DF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1118</Words>
  <Characters>6152</Characters>
  <Application>Microsoft Office Word</Application>
  <DocSecurity>0</DocSecurity>
  <Lines>51</Lines>
  <Paragraphs>14</Paragraphs>
  <ScaleCrop>false</ScaleCrop>
  <Company>Hewlett-Packard</Company>
  <LinksUpToDate>false</LinksUpToDate>
  <CharactersWithSpaces>7256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dc:creator>
  <cp:keywords/>
  <dc:description/>
  <cp:lastModifiedBy>jc</cp:lastModifiedBy>
  <cp:revision>2</cp:revision>
  <dcterms:created xsi:type="dcterms:W3CDTF">2015-02-07T18:40:00Z</dcterms:created>
  <dcterms:modified xsi:type="dcterms:W3CDTF">2015-02-07T18:45:00Z</dcterms:modified>
</cp:coreProperties>
</file>